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_rels/chart5.xml.rels" ContentType="application/vnd.openxmlformats-package.relationships+xml"/>
  <Override PartName="/word/charts/_rels/chart6.xml.rels" ContentType="application/vnd.openxmlformats-package.relationships+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oleObject1.bin" ContentType="application/vnd.openxmlformats-officedocument.oleObject"/>
  <Override PartName="/word/embeddings/oleObject2.bin" ContentType="application/vnd.openxmlformats-officedocument.oleObject"/>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Normal"/>
        <w:jc w:val="both"/>
        <w:rPr>
          <w:rFonts w:ascii="Arial" w:hAnsi="Arial" w:cs="Arial"/>
          <w:b/>
          <w:bCs/>
          <w:sz w:val="36"/>
          <w:szCs w:val="36"/>
        </w:rPr>
      </w:pPr>
      <w:r>
        <w:rPr>
          <w:rFonts w:cs="Arial" w:ascii="Arial" w:hAnsi="Arial"/>
          <w:b/>
          <w:bCs/>
          <w:sz w:val="36"/>
          <w:szCs w:val="36"/>
        </w:rPr>
      </w:r>
    </w:p>
    <w:p>
      <w:pPr>
        <w:pStyle w:val="Normal"/>
        <w:rPr>
          <w:rFonts w:ascii="Arial" w:hAnsi="Arial" w:cs="Arial"/>
          <w:b/>
          <w:bCs/>
          <w:color w:val="00204F"/>
          <w:sz w:val="36"/>
          <w:szCs w:val="36"/>
        </w:rPr>
      </w:pPr>
      <w:r>
        <w:rPr>
          <w:rFonts w:cs="Arial" w:ascii="Arial" w:hAnsi="Arial"/>
          <w:b/>
          <w:bCs/>
          <w:color w:val="00204F"/>
          <w:sz w:val="36"/>
          <w:szCs w:val="36"/>
        </w:rPr>
      </w:r>
    </w:p>
    <w:p>
      <w:pPr>
        <w:pStyle w:val="Normal"/>
        <w:rPr>
          <w:rFonts w:ascii="Arial" w:hAnsi="Arial" w:cs="Arial"/>
          <w:b/>
          <w:bCs/>
          <w:color w:val="00204F"/>
          <w:sz w:val="36"/>
          <w:szCs w:val="36"/>
        </w:rPr>
      </w:pPr>
      <w:r>
        <w:rPr>
          <w:rFonts w:cs="Arial" w:ascii="Arial" w:hAnsi="Arial"/>
          <w:b/>
          <w:bCs/>
          <w:color w:val="00204F"/>
          <w:sz w:val="36"/>
          <w:szCs w:val="36"/>
        </w:rPr>
      </w:r>
    </w:p>
    <w:p>
      <w:pPr>
        <w:pStyle w:val="Normal"/>
        <w:rPr>
          <w:rFonts w:ascii="Arial" w:hAnsi="Arial" w:cs="Arial"/>
          <w:b/>
          <w:bCs/>
          <w:color w:val="00204F"/>
          <w:sz w:val="36"/>
          <w:szCs w:val="36"/>
        </w:rPr>
      </w:pPr>
      <w:r>
        <w:rPr>
          <w:rFonts w:cs="Arial" w:ascii="Arial" w:hAnsi="Arial"/>
          <w:b/>
          <w:bCs/>
          <w:color w:val="00204F"/>
          <w:sz w:val="36"/>
          <w:szCs w:val="36"/>
        </w:rPr>
        <w:t xml:space="preserve">DIAGNOZA POTRZEB I POTENCJAŁU </w:t>
      </w:r>
    </w:p>
    <w:p>
      <w:pPr>
        <w:pStyle w:val="Normal"/>
        <w:rPr>
          <w:rFonts w:ascii="Arial" w:hAnsi="Arial" w:cs="Arial"/>
          <w:b/>
          <w:bCs/>
          <w:color w:val="00204F"/>
          <w:sz w:val="36"/>
          <w:szCs w:val="36"/>
        </w:rPr>
      </w:pPr>
      <w:r>
        <w:rPr>
          <w:rFonts w:cs="Arial" w:ascii="Arial" w:hAnsi="Arial"/>
          <w:b/>
          <w:bCs/>
          <w:color w:val="00204F"/>
          <w:sz w:val="36"/>
          <w:szCs w:val="36"/>
        </w:rPr>
        <w:t>WSPÓLNOTY SAMORZĄDOWEJ</w:t>
      </w:r>
    </w:p>
    <w:p>
      <w:pPr>
        <w:pStyle w:val="Normal"/>
        <w:rPr>
          <w:rFonts w:ascii="Arial" w:hAnsi="Arial" w:cs="Arial"/>
          <w:b/>
          <w:bCs/>
        </w:rPr>
      </w:pPr>
      <w:r>
        <w:rPr>
          <w:rFonts w:cs="Arial" w:ascii="Arial" w:hAnsi="Arial"/>
          <w:b/>
          <w:bCs/>
          <w:color w:val="00204F"/>
          <w:sz w:val="36"/>
          <w:szCs w:val="36"/>
        </w:rPr>
        <w:t>W ZAKRESIE USŁUG SPOŁECZNYCH W GMINIE BYCHAWA</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jc w:val="both"/>
        <w:rPr>
          <w:rFonts w:ascii="Arial" w:hAnsi="Arial" w:cs="Arial"/>
          <w:b/>
          <w:bCs/>
          <w:color w:val="00204F"/>
        </w:rPr>
      </w:pPr>
      <w:r>
        <w:rPr>
          <w:rStyle w:val="Strong"/>
          <w:rFonts w:cs="Arial" w:ascii="Arial" w:hAnsi="Arial"/>
          <w:b w:val="false"/>
          <w:bCs w:val="false"/>
          <w:color w:val="00204F"/>
          <w:shd w:fill="FFFFFF" w:val="clear"/>
        </w:rPr>
        <w:t>Przeprowadzona w ramach realizacji projektu ,,Centrum Usług Społecznych w Gminie Bychawa” w ramach Działania 8.5 Usługi społeczne (typ projektu nr 1e) Priorytetu VIII Zwiększanie spójności społecznej programu Fundusze Europejskie dla Lubelskiego 2021-2027</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drawing>
          <wp:inline distT="0" distB="0" distL="0" distR="0">
            <wp:extent cx="1586230" cy="1847215"/>
            <wp:effectExtent l="0" t="0" r="0" b="0"/>
            <wp:docPr id="1" name="Obraz 948011883" descr="Herb Bychawy » Gmina Bych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948011883" descr="Herb Bychawy » Gmina Bychawa"/>
                    <pic:cNvPicPr>
                      <a:picLocks noChangeAspect="1" noChangeArrowheads="1"/>
                    </pic:cNvPicPr>
                  </pic:nvPicPr>
                  <pic:blipFill>
                    <a:blip r:embed="rId2"/>
                    <a:stretch>
                      <a:fillRect/>
                    </a:stretch>
                  </pic:blipFill>
                  <pic:spPr bwMode="auto">
                    <a:xfrm>
                      <a:off x="0" y="0"/>
                      <a:ext cx="1586230" cy="1847215"/>
                    </a:xfrm>
                    <a:prstGeom prst="rect">
                      <a:avLst/>
                    </a:prstGeom>
                    <a:noFill/>
                  </pic:spPr>
                </pic:pic>
              </a:graphicData>
            </a:graphic>
          </wp:inline>
        </w:drawing>
      </w:r>
    </w:p>
    <w:p>
      <w:pPr>
        <w:pStyle w:val="Normal"/>
        <w:rPr>
          <w:rFonts w:ascii="Arial" w:hAnsi="Arial" w:cs="Arial"/>
        </w:rPr>
      </w:pPr>
      <w:r>
        <w:rPr>
          <w:rFonts w:cs="Arial" w:ascii="Arial" w:hAnsi="Arial"/>
        </w:rPr>
      </w:r>
    </w:p>
    <w:p>
      <w:pPr>
        <w:pStyle w:val="Normal"/>
        <w:jc w:val="both"/>
        <w:rPr>
          <w:rFonts w:ascii="Arial" w:hAnsi="Arial" w:cs="Arial"/>
        </w:rPr>
      </w:pPr>
      <w:r>
        <w:rPr>
          <w:rFonts w:cs="Arial" w:ascii="Arial" w:hAnsi="Arial"/>
        </w:rPr>
      </w:r>
    </w:p>
    <w:sdt>
      <w:sdtPr>
        <w:docPartObj>
          <w:docPartGallery w:val="Table of Contents"/>
          <w:docPartUnique w:val="true"/>
        </w:docPartObj>
      </w:sdtPr>
      <w:sdtContent>
        <w:p>
          <w:pPr>
            <w:pStyle w:val="TOCHeading"/>
            <w:rPr>
              <w:sz w:val="28"/>
              <w:szCs w:val="28"/>
            </w:rPr>
          </w:pPr>
          <w:r>
            <w:rPr>
              <w:sz w:val="28"/>
              <w:szCs w:val="28"/>
            </w:rPr>
            <w:t>Spis treści</w:t>
          </w:r>
        </w:p>
        <w:p>
          <w:pPr>
            <w:pStyle w:val="Normal"/>
            <w:jc w:val="both"/>
            <w:rPr>
              <w:rFonts w:ascii="Arial" w:hAnsi="Arial" w:cs="Arial"/>
              <w:lang w:eastAsia="pl-PL"/>
            </w:rPr>
          </w:pPr>
          <w:r>
            <w:rPr>
              <w:rFonts w:cs="Arial" w:ascii="Arial" w:hAnsi="Arial"/>
              <w:lang w:eastAsia="pl-PL"/>
            </w:rPr>
          </w:r>
        </w:p>
        <w:p>
          <w:pPr>
            <w:pStyle w:val="TOC1"/>
            <w:tabs>
              <w:tab w:val="clear" w:pos="708"/>
              <w:tab w:val="left" w:pos="480" w:leader="none"/>
              <w:tab w:val="right" w:pos="9062" w:leader="dot"/>
            </w:tabs>
            <w:jc w:val="both"/>
            <w:rPr>
              <w:rFonts w:ascii="Arial" w:hAnsi="Arial" w:eastAsia="" w:cs="Arial" w:eastAsiaTheme="minorEastAsia"/>
              <w:lang w:eastAsia="pl-PL"/>
            </w:rPr>
          </w:pPr>
          <w:r>
            <w:fldChar w:fldCharType="begin"/>
          </w:r>
          <w:r>
            <w:rPr>
              <w:webHidden/>
              <w:rStyle w:val="czeindeksu"/>
              <w:vanish w:val="false"/>
              <w:rFonts w:cs="Arial" w:ascii="Arial" w:hAnsi="Arial"/>
              <w:color w:val="auto"/>
            </w:rPr>
            <w:instrText xml:space="preserve"> TOC \z \o "1-3" \u \h</w:instrText>
          </w:r>
          <w:r>
            <w:rPr>
              <w:webHidden/>
              <w:rStyle w:val="czeindeksu"/>
              <w:vanish w:val="false"/>
              <w:rFonts w:cs="Arial" w:ascii="Arial" w:hAnsi="Arial"/>
              <w:color w:val="auto"/>
            </w:rPr>
            <w:fldChar w:fldCharType="separate"/>
          </w:r>
          <w:hyperlink w:anchor="_Toc211356334">
            <w:r>
              <w:rPr>
                <w:webHidden/>
                <w:rStyle w:val="czeindeksu"/>
                <w:rFonts w:cs="Arial" w:ascii="Arial" w:hAnsi="Arial"/>
                <w:vanish w:val="false"/>
                <w:color w:val="auto"/>
              </w:rPr>
              <w:t>1.</w:t>
            </w:r>
            <w:r>
              <w:rPr>
                <w:rStyle w:val="czeindeksu"/>
                <w:rFonts w:eastAsia="" w:cs="Arial" w:ascii="Arial" w:hAnsi="Arial" w:eastAsiaTheme="minorEastAsia"/>
                <w:lang w:eastAsia="pl-PL"/>
              </w:rPr>
              <w:t xml:space="preserve"> </w:t>
            </w:r>
            <w:r>
              <w:rPr>
                <w:rStyle w:val="czeindeksu"/>
                <w:rFonts w:cs="Arial" w:ascii="Arial" w:hAnsi="Arial"/>
                <w:color w:val="auto"/>
              </w:rPr>
              <w:t>Wprowadzenie</w:t>
            </w:r>
            <w:r>
              <w:rPr>
                <w:rStyle w:val="czeindeksu"/>
                <w:rFonts w:cs="Arial" w:ascii="Arial" w:hAnsi="Arial"/>
                <w:vanish w:val="false"/>
              </w:rPr>
              <w:tab/>
            </w:r>
            <w:r>
              <w:rPr>
                <w:webHidden/>
              </w:rPr>
              <w:fldChar w:fldCharType="begin"/>
            </w:r>
            <w:r>
              <w:rPr>
                <w:webHidden/>
              </w:rPr>
              <w:instrText xml:space="preserve">PAGEREF _Toc211356334 \h</w:instrText>
            </w:r>
            <w:r>
              <w:rPr>
                <w:webHidden/>
              </w:rPr>
              <w:fldChar w:fldCharType="separate"/>
            </w:r>
            <w:r>
              <w:rPr>
                <w:rStyle w:val="czeindeksu"/>
                <w:rFonts w:cs="Arial" w:ascii="Arial" w:hAnsi="Arial"/>
                <w:vanish w:val="false"/>
              </w:rPr>
              <w:t>3</w:t>
            </w:r>
            <w:r>
              <w:rPr>
                <w:webHidden/>
              </w:rPr>
              <w:fldChar w:fldCharType="end"/>
            </w:r>
          </w:hyperlink>
        </w:p>
        <w:p>
          <w:pPr>
            <w:pStyle w:val="TOC1"/>
            <w:tabs>
              <w:tab w:val="clear" w:pos="708"/>
              <w:tab w:val="left" w:pos="480" w:leader="none"/>
              <w:tab w:val="right" w:pos="9062" w:leader="dot"/>
            </w:tabs>
            <w:jc w:val="both"/>
            <w:rPr>
              <w:rFonts w:ascii="Arial" w:hAnsi="Arial" w:eastAsia="" w:cs="Arial" w:eastAsiaTheme="minorEastAsia"/>
              <w:lang w:eastAsia="pl-PL"/>
            </w:rPr>
          </w:pPr>
          <w:hyperlink w:anchor="_Toc211356335">
            <w:r>
              <w:rPr>
                <w:webHidden/>
                <w:rStyle w:val="czeindeksu"/>
                <w:rFonts w:cs="Arial" w:ascii="Arial" w:hAnsi="Arial"/>
                <w:vanish w:val="false"/>
                <w:color w:val="auto"/>
              </w:rPr>
              <w:t>2.</w:t>
            </w:r>
            <w:r>
              <w:rPr>
                <w:rStyle w:val="czeindeksu"/>
                <w:rFonts w:eastAsia="" w:cs="Arial" w:ascii="Arial" w:hAnsi="Arial" w:eastAsiaTheme="minorEastAsia"/>
                <w:lang w:eastAsia="pl-PL"/>
              </w:rPr>
              <w:t xml:space="preserve"> </w:t>
            </w:r>
            <w:r>
              <w:rPr>
                <w:rStyle w:val="czeindeksu"/>
                <w:rFonts w:cs="Arial" w:ascii="Arial" w:hAnsi="Arial"/>
                <w:color w:val="auto"/>
              </w:rPr>
              <w:t>Metodologia badań społecznych</w:t>
            </w:r>
            <w:r>
              <w:rPr>
                <w:rStyle w:val="czeindeksu"/>
                <w:rFonts w:cs="Arial" w:ascii="Arial" w:hAnsi="Arial"/>
                <w:vanish w:val="false"/>
              </w:rPr>
              <w:tab/>
            </w:r>
            <w:r>
              <w:rPr>
                <w:webHidden/>
              </w:rPr>
              <w:fldChar w:fldCharType="begin"/>
            </w:r>
            <w:r>
              <w:rPr>
                <w:webHidden/>
              </w:rPr>
              <w:instrText xml:space="preserve">PAGEREF _Toc211356335 \h</w:instrText>
            </w:r>
            <w:r>
              <w:rPr>
                <w:webHidden/>
              </w:rPr>
              <w:fldChar w:fldCharType="separate"/>
            </w:r>
            <w:r>
              <w:rPr>
                <w:rStyle w:val="czeindeksu"/>
                <w:rFonts w:cs="Arial" w:ascii="Arial" w:hAnsi="Arial"/>
                <w:vanish w:val="false"/>
              </w:rPr>
              <w:t>8</w:t>
            </w:r>
            <w:r>
              <w:rPr>
                <w:webHidden/>
              </w:rPr>
              <w:fldChar w:fldCharType="end"/>
            </w:r>
          </w:hyperlink>
        </w:p>
        <w:p>
          <w:pPr>
            <w:pStyle w:val="TOC1"/>
            <w:tabs>
              <w:tab w:val="clear" w:pos="708"/>
              <w:tab w:val="left" w:pos="720" w:leader="none"/>
              <w:tab w:val="right" w:pos="9062" w:leader="dot"/>
            </w:tabs>
            <w:jc w:val="both"/>
            <w:rPr>
              <w:rFonts w:ascii="Arial" w:hAnsi="Arial" w:eastAsia="" w:cs="Arial" w:eastAsiaTheme="minorEastAsia"/>
              <w:lang w:eastAsia="pl-PL"/>
            </w:rPr>
          </w:pPr>
          <w:hyperlink w:anchor="_Toc211356336">
            <w:r>
              <w:rPr>
                <w:webHidden/>
                <w:rStyle w:val="czeindeksu"/>
                <w:rFonts w:cs="Arial" w:ascii="Arial" w:hAnsi="Arial"/>
                <w:vanish w:val="false"/>
                <w:color w:val="auto"/>
              </w:rPr>
              <w:t>3.</w:t>
            </w:r>
            <w:r>
              <w:rPr>
                <w:rStyle w:val="czeindeksu"/>
                <w:rFonts w:eastAsia="" w:cs="Arial" w:ascii="Arial" w:hAnsi="Arial" w:eastAsiaTheme="minorEastAsia"/>
                <w:lang w:eastAsia="pl-PL"/>
              </w:rPr>
              <w:t xml:space="preserve"> </w:t>
            </w:r>
            <w:r>
              <w:rPr>
                <w:rStyle w:val="czeindeksu"/>
                <w:rFonts w:cs="Arial" w:ascii="Arial" w:hAnsi="Arial"/>
                <w:color w:val="auto"/>
              </w:rPr>
              <w:t>Diagnoza potrzeb i potencjału wspólnoty samorządowej Gminy Bychawa w zakresie</w:t>
              <w:br/>
              <w:t xml:space="preserve">    usług społecznych</w:t>
            </w:r>
            <w:r>
              <w:rPr>
                <w:rStyle w:val="czeindeksu"/>
                <w:rFonts w:cs="Arial" w:ascii="Arial" w:hAnsi="Arial"/>
                <w:vanish w:val="false"/>
              </w:rPr>
              <w:tab/>
            </w:r>
            <w:r>
              <w:rPr>
                <w:webHidden/>
              </w:rPr>
              <w:fldChar w:fldCharType="begin"/>
            </w:r>
            <w:r>
              <w:rPr>
                <w:webHidden/>
              </w:rPr>
              <w:instrText xml:space="preserve">PAGEREF _Toc211356336 \h</w:instrText>
            </w:r>
            <w:r>
              <w:rPr>
                <w:webHidden/>
              </w:rPr>
              <w:fldChar w:fldCharType="separate"/>
            </w:r>
            <w:r>
              <w:rPr>
                <w:rStyle w:val="czeindeksu"/>
                <w:rFonts w:cs="Arial" w:ascii="Arial" w:hAnsi="Arial"/>
                <w:vanish w:val="false"/>
              </w:rPr>
              <w:t>17</w:t>
            </w:r>
            <w:r>
              <w:rPr>
                <w:webHidden/>
              </w:rPr>
              <w:fldChar w:fldCharType="end"/>
            </w:r>
          </w:hyperlink>
        </w:p>
        <w:p>
          <w:pPr>
            <w:pStyle w:val="TOC2"/>
            <w:tabs>
              <w:tab w:val="clear" w:pos="708"/>
              <w:tab w:val="left" w:pos="1200" w:leader="none"/>
              <w:tab w:val="right" w:pos="9062" w:leader="dot"/>
            </w:tabs>
            <w:jc w:val="both"/>
            <w:rPr>
              <w:rFonts w:ascii="Arial" w:hAnsi="Arial" w:eastAsia="" w:cs="Arial" w:eastAsiaTheme="minorEastAsia"/>
              <w:lang w:eastAsia="pl-PL"/>
            </w:rPr>
          </w:pPr>
          <w:hyperlink w:anchor="_Toc211356337">
            <w:r>
              <w:rPr>
                <w:webHidden/>
                <w:rStyle w:val="czeindeksu"/>
                <w:rFonts w:cs="Arial" w:ascii="Arial" w:hAnsi="Arial"/>
                <w:vanish w:val="false"/>
                <w:color w:val="auto"/>
              </w:rPr>
              <w:t>3.1.</w:t>
            </w:r>
            <w:r>
              <w:rPr>
                <w:rStyle w:val="czeindeksu"/>
                <w:rFonts w:eastAsia="" w:cs="Arial" w:ascii="Arial" w:hAnsi="Arial" w:eastAsiaTheme="minorEastAsia"/>
                <w:lang w:eastAsia="pl-PL"/>
              </w:rPr>
              <w:t xml:space="preserve"> </w:t>
            </w:r>
            <w:r>
              <w:rPr>
                <w:rStyle w:val="czeindeksu"/>
                <w:rFonts w:cs="Arial" w:ascii="Arial" w:hAnsi="Arial"/>
                <w:color w:val="auto"/>
              </w:rPr>
              <w:t>Sytuacja społeczna i ekonomiczna mieszkańców Gminy Bychawa generująca</w:t>
              <w:br/>
              <w:t xml:space="preserve">       popyt na usługi społeczne</w:t>
            </w:r>
            <w:r>
              <w:rPr>
                <w:rStyle w:val="czeindeksu"/>
                <w:rFonts w:cs="Arial" w:ascii="Arial" w:hAnsi="Arial"/>
                <w:vanish w:val="false"/>
              </w:rPr>
              <w:tab/>
            </w:r>
            <w:r>
              <w:rPr>
                <w:webHidden/>
              </w:rPr>
              <w:fldChar w:fldCharType="begin"/>
            </w:r>
            <w:r>
              <w:rPr>
                <w:webHidden/>
              </w:rPr>
              <w:instrText xml:space="preserve">PAGEREF _Toc211356337 \h</w:instrText>
            </w:r>
            <w:r>
              <w:rPr>
                <w:webHidden/>
              </w:rPr>
              <w:fldChar w:fldCharType="separate"/>
            </w:r>
            <w:r>
              <w:rPr>
                <w:rStyle w:val="czeindeksu"/>
                <w:rFonts w:cs="Arial" w:ascii="Arial" w:hAnsi="Arial"/>
                <w:vanish w:val="false"/>
              </w:rPr>
              <w:t>18</w:t>
            </w:r>
            <w:r>
              <w:rPr>
                <w:webHidden/>
              </w:rPr>
              <w:fldChar w:fldCharType="end"/>
            </w:r>
          </w:hyperlink>
        </w:p>
        <w:p>
          <w:pPr>
            <w:pStyle w:val="TOC3"/>
            <w:rPr>
              <w:rFonts w:eastAsia="" w:eastAsiaTheme="minorEastAsia"/>
              <w:lang w:eastAsia="pl-PL"/>
            </w:rPr>
          </w:pPr>
          <w:hyperlink w:anchor="_Toc211356338">
            <w:r>
              <w:rPr>
                <w:webHidden/>
                <w:rStyle w:val="czeindeksu"/>
                <w:rFonts w:cs="Arial" w:ascii="Arial" w:hAnsi="Arial"/>
                <w:vanish w:val="false"/>
                <w:color w:val="auto"/>
              </w:rPr>
              <w:t>3.1.1.</w:t>
            </w:r>
            <w:r>
              <w:rPr>
                <w:rStyle w:val="czeindeksu"/>
                <w:rFonts w:eastAsia="" w:eastAsiaTheme="minorEastAsia"/>
                <w:lang w:eastAsia="pl-PL"/>
              </w:rPr>
              <w:t xml:space="preserve"> </w:t>
            </w:r>
            <w:r>
              <w:rPr>
                <w:rStyle w:val="czeindeksu"/>
                <w:rFonts w:cs="Arial" w:ascii="Arial" w:hAnsi="Arial"/>
                <w:color w:val="auto"/>
              </w:rPr>
              <w:t>Sytuacja demograficzna mieszkańców Gminy Bychawa</w:t>
            </w:r>
            <w:r>
              <w:rPr>
                <w:webHidden/>
              </w:rPr>
              <w:fldChar w:fldCharType="begin"/>
            </w:r>
            <w:r>
              <w:rPr>
                <w:webHidden/>
              </w:rPr>
              <w:instrText xml:space="preserve">PAGEREF _Toc211356338 \h</w:instrText>
            </w:r>
            <w:r>
              <w:rPr>
                <w:webHidden/>
              </w:rPr>
              <w:fldChar w:fldCharType="separate"/>
            </w:r>
            <w:r>
              <w:rPr>
                <w:rStyle w:val="czeindeksu"/>
                <w:vanish w:val="false"/>
              </w:rPr>
              <w:tab/>
              <w:t>18</w:t>
            </w:r>
            <w:r>
              <w:rPr>
                <w:webHidden/>
              </w:rPr>
              <w:fldChar w:fldCharType="end"/>
            </w:r>
          </w:hyperlink>
        </w:p>
        <w:p>
          <w:pPr>
            <w:pStyle w:val="TOC3"/>
            <w:rPr>
              <w:rFonts w:eastAsia="" w:eastAsiaTheme="minorEastAsia"/>
              <w:lang w:eastAsia="pl-PL"/>
            </w:rPr>
          </w:pPr>
          <w:hyperlink w:anchor="_Toc211356339">
            <w:r>
              <w:rPr>
                <w:webHidden/>
                <w:rStyle w:val="czeindeksu"/>
                <w:rFonts w:cs="Arial" w:ascii="Arial" w:hAnsi="Arial"/>
                <w:vanish w:val="false"/>
                <w:color w:val="auto"/>
              </w:rPr>
              <w:t>3.1.2.</w:t>
            </w:r>
            <w:r>
              <w:rPr>
                <w:rStyle w:val="czeindeksu"/>
                <w:rFonts w:eastAsia="" w:eastAsiaTheme="minorEastAsia"/>
                <w:lang w:eastAsia="pl-PL"/>
              </w:rPr>
              <w:t xml:space="preserve"> </w:t>
            </w:r>
            <w:r>
              <w:rPr>
                <w:rStyle w:val="czeindeksu"/>
                <w:rFonts w:cs="Arial" w:ascii="Arial" w:hAnsi="Arial"/>
                <w:color w:val="auto"/>
              </w:rPr>
              <w:t>Sytuacja mieszkaniowa mieszkańców Gminy Bychawa</w:t>
            </w:r>
            <w:r>
              <w:rPr>
                <w:webHidden/>
              </w:rPr>
              <w:fldChar w:fldCharType="begin"/>
            </w:r>
            <w:r>
              <w:rPr>
                <w:webHidden/>
              </w:rPr>
              <w:instrText xml:space="preserve">PAGEREF _Toc211356339 \h</w:instrText>
            </w:r>
            <w:r>
              <w:rPr>
                <w:webHidden/>
              </w:rPr>
              <w:fldChar w:fldCharType="separate"/>
            </w:r>
            <w:r>
              <w:rPr>
                <w:rStyle w:val="czeindeksu"/>
                <w:vanish w:val="false"/>
              </w:rPr>
              <w:tab/>
              <w:t>26</w:t>
            </w:r>
            <w:r>
              <w:rPr>
                <w:webHidden/>
              </w:rPr>
              <w:fldChar w:fldCharType="end"/>
            </w:r>
          </w:hyperlink>
        </w:p>
        <w:p>
          <w:pPr>
            <w:pStyle w:val="TOC3"/>
            <w:rPr>
              <w:rFonts w:eastAsia="" w:eastAsiaTheme="minorEastAsia"/>
              <w:lang w:eastAsia="pl-PL"/>
            </w:rPr>
          </w:pPr>
          <w:hyperlink w:anchor="_Toc211356340">
            <w:r>
              <w:rPr>
                <w:webHidden/>
                <w:rStyle w:val="czeindeksu"/>
                <w:rFonts w:eastAsia="Times New Roman" w:cs="Arial" w:ascii="Arial" w:hAnsi="Arial"/>
                <w:vanish w:val="false"/>
                <w:color w:val="auto"/>
                <w:kern w:val="0"/>
                <w:lang w:eastAsia="pl-PL"/>
                <w14:ligatures w14:val="none"/>
              </w:rPr>
              <w:t>3.1.3.</w:t>
            </w:r>
            <w:r>
              <w:rPr>
                <w:rStyle w:val="czeindeksu"/>
                <w:rFonts w:cs="Arial" w:ascii="Arial" w:hAnsi="Arial"/>
                <w:color w:val="auto"/>
              </w:rPr>
              <w:t>Sytuacja mieszkańców Gminy Bychawa w obszarze zatrudnienia</w:t>
              <w:br/>
              <w:t xml:space="preserve">         i bezrobocia</w:t>
            </w:r>
            <w:r>
              <w:rPr>
                <w:webHidden/>
              </w:rPr>
              <w:fldChar w:fldCharType="begin"/>
            </w:r>
            <w:r>
              <w:rPr>
                <w:webHidden/>
              </w:rPr>
              <w:instrText xml:space="preserve">PAGEREF _Toc211356340 \h</w:instrText>
            </w:r>
            <w:r>
              <w:rPr>
                <w:webHidden/>
              </w:rPr>
              <w:fldChar w:fldCharType="separate"/>
            </w:r>
            <w:r>
              <w:rPr>
                <w:rStyle w:val="czeindeksu"/>
                <w:vanish w:val="false"/>
              </w:rPr>
              <w:tab/>
              <w:t>…………………………………………………………………31</w:t>
            </w:r>
            <w:r>
              <w:rPr>
                <w:webHidden/>
              </w:rPr>
              <w:fldChar w:fldCharType="end"/>
            </w:r>
          </w:hyperlink>
        </w:p>
        <w:p>
          <w:pPr>
            <w:pStyle w:val="TOC3"/>
            <w:rPr>
              <w:rFonts w:eastAsia="" w:eastAsiaTheme="minorEastAsia"/>
              <w:lang w:eastAsia="pl-PL"/>
            </w:rPr>
          </w:pPr>
          <w:hyperlink w:anchor="_Toc211356341">
            <w:r>
              <w:rPr>
                <w:webHidden/>
                <w:rStyle w:val="czeindeksu"/>
                <w:rFonts w:cs="Arial" w:ascii="Arial" w:hAnsi="Arial"/>
                <w:vanish w:val="false"/>
                <w:color w:val="auto"/>
              </w:rPr>
              <w:t>3.1.4.</w:t>
            </w:r>
            <w:r>
              <w:rPr>
                <w:rStyle w:val="czeindeksu"/>
                <w:rFonts w:eastAsia="" w:eastAsiaTheme="minorEastAsia"/>
                <w:lang w:eastAsia="pl-PL"/>
              </w:rPr>
              <w:t xml:space="preserve"> </w:t>
            </w:r>
            <w:r>
              <w:rPr>
                <w:rStyle w:val="czeindeksu"/>
                <w:rFonts w:cs="Arial" w:ascii="Arial" w:hAnsi="Arial"/>
                <w:color w:val="auto"/>
              </w:rPr>
              <w:t xml:space="preserve">Sytuacja mieszkańców Gminy Bychawa według poziomu zaspokojenia </w:t>
              <w:br/>
              <w:t xml:space="preserve">           najpilniejszych potrzeb życiowych</w:t>
            </w:r>
            <w:r>
              <w:rPr>
                <w:webHidden/>
              </w:rPr>
              <w:fldChar w:fldCharType="begin"/>
            </w:r>
            <w:r>
              <w:rPr>
                <w:webHidden/>
              </w:rPr>
              <w:instrText xml:space="preserve">PAGEREF _Toc211356341 \h</w:instrText>
            </w:r>
            <w:r>
              <w:rPr>
                <w:webHidden/>
              </w:rPr>
              <w:fldChar w:fldCharType="separate"/>
            </w:r>
            <w:r>
              <w:rPr>
                <w:rStyle w:val="czeindeksu"/>
                <w:vanish w:val="false"/>
              </w:rPr>
              <w:tab/>
              <w:t>35</w:t>
            </w:r>
            <w:r>
              <w:rPr>
                <w:webHidden/>
              </w:rPr>
              <w:fldChar w:fldCharType="end"/>
            </w:r>
          </w:hyperlink>
        </w:p>
        <w:p>
          <w:pPr>
            <w:pStyle w:val="TOC3"/>
            <w:rPr>
              <w:rFonts w:eastAsia="" w:eastAsiaTheme="minorEastAsia"/>
              <w:lang w:eastAsia="pl-PL"/>
            </w:rPr>
          </w:pPr>
          <w:hyperlink w:anchor="_Toc211356342">
            <w:r>
              <w:rPr>
                <w:webHidden/>
                <w:rStyle w:val="czeindeksu"/>
                <w:rFonts w:eastAsia="Times New Roman" w:cs="Arial" w:ascii="Arial" w:hAnsi="Arial"/>
                <w:vanish w:val="false"/>
                <w:color w:val="auto"/>
                <w:kern w:val="0"/>
                <w:lang w:eastAsia="pl-PL"/>
                <w14:ligatures w14:val="none"/>
              </w:rPr>
              <w:t>3.1.5.</w:t>
            </w:r>
            <w:r>
              <w:rPr>
                <w:rStyle w:val="czeindeksu"/>
                <w:rFonts w:eastAsia="" w:eastAsiaTheme="minorEastAsia"/>
                <w:lang w:eastAsia="pl-PL"/>
              </w:rPr>
              <w:t xml:space="preserve"> </w:t>
            </w:r>
            <w:r>
              <w:rPr>
                <w:rStyle w:val="czeindeksu"/>
                <w:rFonts w:cs="Arial" w:ascii="Arial" w:hAnsi="Arial"/>
                <w:color w:val="auto"/>
              </w:rPr>
              <w:t>Sytuacja mieszkańców Gminy Bychawa</w:t>
            </w:r>
            <w:r>
              <w:rPr>
                <w:rStyle w:val="czeindeksu"/>
                <w:rFonts w:eastAsia="Times New Roman" w:cs="Arial" w:ascii="Arial" w:hAnsi="Arial"/>
                <w:color w:val="auto"/>
                <w:kern w:val="0"/>
                <w:lang w:eastAsia="pl-PL"/>
                <w14:ligatures w14:val="none"/>
              </w:rPr>
              <w:t xml:space="preserve"> w obszarze edukacji i ochrony</w:t>
              <w:br/>
              <w:t xml:space="preserve">           zdrowia</w:t>
            </w:r>
            <w:r>
              <w:rPr>
                <w:webHidden/>
              </w:rPr>
              <w:fldChar w:fldCharType="begin"/>
            </w:r>
            <w:r>
              <w:rPr>
                <w:webHidden/>
              </w:rPr>
              <w:instrText xml:space="preserve">PAGEREF _Toc211356342 \h</w:instrText>
            </w:r>
            <w:r>
              <w:rPr>
                <w:webHidden/>
              </w:rPr>
              <w:fldChar w:fldCharType="separate"/>
            </w:r>
            <w:r>
              <w:rPr>
                <w:rStyle w:val="czeindeksu"/>
                <w:vanish w:val="false"/>
              </w:rPr>
              <w:tab/>
              <w:t>38</w:t>
            </w:r>
            <w:r>
              <w:rPr>
                <w:webHidden/>
              </w:rPr>
              <w:fldChar w:fldCharType="end"/>
            </w:r>
          </w:hyperlink>
        </w:p>
        <w:p>
          <w:pPr>
            <w:pStyle w:val="TOC2"/>
            <w:tabs>
              <w:tab w:val="clear" w:pos="708"/>
              <w:tab w:val="left" w:pos="1440" w:leader="none"/>
              <w:tab w:val="right" w:pos="9062" w:leader="dot"/>
            </w:tabs>
            <w:jc w:val="both"/>
            <w:rPr>
              <w:rFonts w:ascii="Arial" w:hAnsi="Arial" w:eastAsia="" w:cs="Arial" w:eastAsiaTheme="minorEastAsia"/>
              <w:lang w:eastAsia="pl-PL"/>
            </w:rPr>
          </w:pPr>
          <w:hyperlink w:anchor="_Toc211356343">
            <w:r>
              <w:rPr>
                <w:webHidden/>
                <w:rStyle w:val="czeindeksu"/>
                <w:rFonts w:cs="Arial" w:ascii="Arial" w:hAnsi="Arial"/>
                <w:vanish w:val="false"/>
                <w:color w:val="auto"/>
              </w:rPr>
              <w:t>3.2.</w:t>
            </w:r>
            <w:r>
              <w:rPr>
                <w:rStyle w:val="czeindeksu"/>
                <w:rFonts w:eastAsia="" w:cs="Arial" w:ascii="Arial" w:hAnsi="Arial" w:eastAsiaTheme="minorEastAsia"/>
                <w:lang w:eastAsia="pl-PL"/>
              </w:rPr>
              <w:t xml:space="preserve"> </w:t>
            </w:r>
            <w:r>
              <w:rPr>
                <w:rStyle w:val="czeindeksu"/>
                <w:rFonts w:cs="Arial" w:ascii="Arial" w:hAnsi="Arial"/>
                <w:color w:val="auto"/>
              </w:rPr>
              <w:t>Stan realizacji usług społecznych w Gminie Bychawa przed utworzeniem</w:t>
              <w:br/>
              <w:t xml:space="preserve">        Centrum Usług Społecznych</w:t>
            </w:r>
            <w:r>
              <w:rPr>
                <w:rStyle w:val="czeindeksu"/>
                <w:rFonts w:cs="Arial" w:ascii="Arial" w:hAnsi="Arial"/>
                <w:vanish w:val="false"/>
              </w:rPr>
              <w:tab/>
            </w:r>
            <w:r>
              <w:rPr>
                <w:webHidden/>
              </w:rPr>
              <w:fldChar w:fldCharType="begin"/>
            </w:r>
            <w:r>
              <w:rPr>
                <w:webHidden/>
              </w:rPr>
              <w:instrText xml:space="preserve">PAGEREF _Toc211356343 \h</w:instrText>
            </w:r>
            <w:r>
              <w:rPr>
                <w:webHidden/>
              </w:rPr>
              <w:fldChar w:fldCharType="separate"/>
            </w:r>
            <w:r>
              <w:rPr>
                <w:rStyle w:val="czeindeksu"/>
                <w:rFonts w:cs="Arial" w:ascii="Arial" w:hAnsi="Arial"/>
                <w:vanish w:val="false"/>
              </w:rPr>
              <w:t>41</w:t>
            </w:r>
            <w:r>
              <w:rPr>
                <w:webHidden/>
              </w:rPr>
              <w:fldChar w:fldCharType="end"/>
            </w:r>
          </w:hyperlink>
        </w:p>
        <w:p>
          <w:pPr>
            <w:pStyle w:val="TOC2"/>
            <w:tabs>
              <w:tab w:val="clear" w:pos="708"/>
              <w:tab w:val="left" w:pos="960" w:leader="none"/>
              <w:tab w:val="right" w:pos="9062" w:leader="dot"/>
            </w:tabs>
            <w:jc w:val="both"/>
            <w:rPr>
              <w:rFonts w:ascii="Arial" w:hAnsi="Arial" w:eastAsia="" w:cs="Arial" w:eastAsiaTheme="minorEastAsia"/>
              <w:lang w:eastAsia="pl-PL"/>
            </w:rPr>
          </w:pPr>
          <w:hyperlink w:anchor="_Toc211356344">
            <w:r>
              <w:rPr>
                <w:webHidden/>
                <w:rStyle w:val="czeindeksu"/>
                <w:rFonts w:cs="Arial" w:ascii="Arial" w:hAnsi="Arial"/>
                <w:vanish w:val="false"/>
                <w:color w:val="auto"/>
              </w:rPr>
              <w:t>3.3.</w:t>
            </w:r>
            <w:r>
              <w:rPr>
                <w:rStyle w:val="czeindeksu"/>
                <w:rFonts w:eastAsia="" w:cs="Arial" w:ascii="Arial" w:hAnsi="Arial" w:eastAsiaTheme="minorEastAsia"/>
                <w:lang w:eastAsia="pl-PL"/>
              </w:rPr>
              <w:t xml:space="preserve">  </w:t>
            </w:r>
            <w:r>
              <w:rPr>
                <w:rStyle w:val="czeindeksu"/>
                <w:rFonts w:cs="Arial" w:ascii="Arial" w:hAnsi="Arial"/>
                <w:color w:val="auto"/>
              </w:rPr>
              <w:t>Potrzeby mieszkańców Gminy Bychawa w zakresie usług społecznych</w:t>
            </w:r>
            <w:r>
              <w:rPr>
                <w:rStyle w:val="czeindeksu"/>
                <w:rFonts w:cs="Arial" w:ascii="Arial" w:hAnsi="Arial"/>
                <w:vanish w:val="false"/>
              </w:rPr>
              <w:tab/>
            </w:r>
            <w:r>
              <w:rPr>
                <w:webHidden/>
              </w:rPr>
              <w:fldChar w:fldCharType="begin"/>
            </w:r>
            <w:r>
              <w:rPr>
                <w:webHidden/>
              </w:rPr>
              <w:instrText xml:space="preserve">PAGEREF _Toc211356344 \h</w:instrText>
            </w:r>
            <w:r>
              <w:rPr>
                <w:webHidden/>
              </w:rPr>
              <w:fldChar w:fldCharType="separate"/>
            </w:r>
            <w:r>
              <w:rPr>
                <w:rStyle w:val="czeindeksu"/>
                <w:rFonts w:cs="Arial" w:ascii="Arial" w:hAnsi="Arial"/>
                <w:vanish w:val="false"/>
              </w:rPr>
              <w:t>50</w:t>
            </w:r>
            <w:r>
              <w:rPr>
                <w:webHidden/>
              </w:rPr>
              <w:fldChar w:fldCharType="end"/>
            </w:r>
          </w:hyperlink>
        </w:p>
        <w:p>
          <w:pPr>
            <w:pStyle w:val="TOC3"/>
            <w:rPr>
              <w:rFonts w:eastAsia="" w:eastAsiaTheme="minorEastAsia"/>
              <w:lang w:eastAsia="pl-PL"/>
            </w:rPr>
          </w:pPr>
          <w:r>
            <w:rPr>
              <w:rFonts w:cs="Arial" w:ascii="Arial" w:hAnsi="Arial"/>
              <w:color w:val="auto"/>
              <w:u w:val="none"/>
            </w:rPr>
            <w:t xml:space="preserve">   </w:t>
          </w:r>
          <w:hyperlink w:anchor="_Toc211356345">
            <w:r>
              <w:rPr>
                <w:webHidden/>
                <w:rStyle w:val="czeindeksu"/>
                <w:rFonts w:eastAsia="Times New Roman" w:cs="Arial" w:ascii="Arial" w:hAnsi="Arial"/>
                <w:vanish w:val="false"/>
                <w:color w:val="auto"/>
                <w:kern w:val="0"/>
                <w:lang w:eastAsia="pl-PL"/>
                <w14:ligatures w14:val="none"/>
              </w:rPr>
              <w:t>3.4.</w:t>
            </w:r>
            <w:r>
              <w:rPr>
                <w:rStyle w:val="czeindeksu"/>
                <w:rFonts w:eastAsia="" w:eastAsiaTheme="minorEastAsia"/>
                <w:lang w:eastAsia="pl-PL"/>
              </w:rPr>
              <w:t xml:space="preserve">  </w:t>
            </w:r>
            <w:r>
              <w:rPr>
                <w:rStyle w:val="czeindeksu"/>
                <w:rFonts w:cs="Arial" w:ascii="Arial" w:hAnsi="Arial"/>
                <w:color w:val="auto"/>
                <w:kern w:val="0"/>
                <w:lang w:eastAsia="pl-PL"/>
                <w14:ligatures w14:val="none"/>
              </w:rPr>
              <w:t>Definicje wybranych usług społecznych, wskazanych w badaniach potrzeb</w:t>
              <w:br/>
              <w:t xml:space="preserve">            mieszkańców Gminy Bychawa</w:t>
            </w:r>
            <w:r>
              <w:rPr>
                <w:webHidden/>
              </w:rPr>
              <w:fldChar w:fldCharType="begin"/>
            </w:r>
            <w:r>
              <w:rPr>
                <w:webHidden/>
              </w:rPr>
              <w:instrText xml:space="preserve">PAGEREF _Toc211356345 \h</w:instrText>
            </w:r>
            <w:r>
              <w:rPr>
                <w:webHidden/>
              </w:rPr>
              <w:fldChar w:fldCharType="separate"/>
            </w:r>
            <w:r>
              <w:rPr>
                <w:rStyle w:val="czeindeksu"/>
                <w:vanish w:val="false"/>
              </w:rPr>
              <w:tab/>
              <w:t>65</w:t>
            </w:r>
            <w:r>
              <w:rPr>
                <w:webHidden/>
              </w:rPr>
              <w:fldChar w:fldCharType="end"/>
            </w:r>
          </w:hyperlink>
        </w:p>
        <w:p>
          <w:pPr>
            <w:pStyle w:val="TOC1"/>
            <w:tabs>
              <w:tab w:val="clear" w:pos="708"/>
              <w:tab w:val="left" w:pos="1200" w:leader="none"/>
              <w:tab w:val="right" w:pos="9062" w:leader="dot"/>
            </w:tabs>
            <w:jc w:val="both"/>
            <w:rPr>
              <w:rFonts w:ascii="Arial" w:hAnsi="Arial" w:eastAsia="" w:cs="Arial" w:eastAsiaTheme="minorEastAsia"/>
              <w:lang w:eastAsia="pl-PL"/>
            </w:rPr>
          </w:pPr>
          <w:hyperlink w:anchor="_Toc211356429">
            <w:r>
              <w:rPr>
                <w:webHidden/>
                <w:rStyle w:val="czeindeksu"/>
                <w:rFonts w:cs="Arial" w:ascii="Arial" w:hAnsi="Arial"/>
                <w:vanish w:val="false"/>
                <w:color w:val="auto"/>
              </w:rPr>
              <w:t>4.</w:t>
            </w:r>
            <w:r>
              <w:rPr>
                <w:rStyle w:val="czeindeksu"/>
                <w:rFonts w:eastAsia="" w:cs="Arial" w:ascii="Arial" w:hAnsi="Arial" w:eastAsiaTheme="minorEastAsia"/>
                <w:lang w:eastAsia="pl-PL"/>
              </w:rPr>
              <w:t xml:space="preserve"> </w:t>
            </w:r>
            <w:r>
              <w:rPr>
                <w:rStyle w:val="czeindeksu"/>
                <w:rFonts w:cs="Arial" w:ascii="Arial" w:hAnsi="Arial"/>
                <w:color w:val="auto"/>
              </w:rPr>
              <w:t>Potencjał wspólnoty samorządowej Gminy Bychawa w zakresie organizacji usług</w:t>
              <w:br/>
              <w:t xml:space="preserve">    społecznych dla mieszkańców</w:t>
            </w:r>
            <w:r>
              <w:rPr>
                <w:rStyle w:val="czeindeksu"/>
                <w:rFonts w:cs="Arial" w:ascii="Arial" w:hAnsi="Arial"/>
                <w:vanish w:val="false"/>
              </w:rPr>
              <w:tab/>
            </w:r>
            <w:r>
              <w:rPr>
                <w:webHidden/>
              </w:rPr>
              <w:fldChar w:fldCharType="begin"/>
            </w:r>
            <w:r>
              <w:rPr>
                <w:webHidden/>
              </w:rPr>
              <w:instrText xml:space="preserve">PAGEREF _Toc211356429 \h</w:instrText>
            </w:r>
            <w:r>
              <w:rPr>
                <w:webHidden/>
              </w:rPr>
              <w:fldChar w:fldCharType="separate"/>
            </w:r>
            <w:r>
              <w:rPr>
                <w:rStyle w:val="czeindeksu"/>
                <w:rFonts w:cs="Arial" w:ascii="Arial" w:hAnsi="Arial"/>
                <w:vanish w:val="false"/>
              </w:rPr>
              <w:t>133</w:t>
            </w:r>
            <w:r>
              <w:rPr>
                <w:webHidden/>
              </w:rPr>
              <w:fldChar w:fldCharType="end"/>
            </w:r>
          </w:hyperlink>
        </w:p>
        <w:p>
          <w:pPr>
            <w:pStyle w:val="TOC1"/>
            <w:tabs>
              <w:tab w:val="clear" w:pos="708"/>
              <w:tab w:val="left" w:pos="480" w:leader="none"/>
              <w:tab w:val="right" w:pos="9062" w:leader="dot"/>
            </w:tabs>
            <w:jc w:val="both"/>
            <w:rPr>
              <w:rFonts w:ascii="Arial" w:hAnsi="Arial" w:eastAsia="" w:cs="Arial" w:eastAsiaTheme="minorEastAsia"/>
              <w:lang w:eastAsia="pl-PL"/>
            </w:rPr>
          </w:pPr>
          <w:hyperlink w:anchor="_Toc211356430">
            <w:r>
              <w:rPr>
                <w:webHidden/>
                <w:rStyle w:val="czeindeksu"/>
                <w:rFonts w:cs="Arial" w:ascii="Arial" w:hAnsi="Arial"/>
                <w:vanish w:val="false"/>
                <w:color w:val="auto"/>
              </w:rPr>
              <w:t>5.</w:t>
            </w:r>
            <w:r>
              <w:rPr>
                <w:rStyle w:val="czeindeksu"/>
                <w:rFonts w:eastAsia="" w:cs="Arial" w:ascii="Arial" w:hAnsi="Arial" w:eastAsiaTheme="minorEastAsia"/>
                <w:lang w:eastAsia="pl-PL"/>
              </w:rPr>
              <w:t xml:space="preserve"> </w:t>
            </w:r>
            <w:r>
              <w:rPr>
                <w:rStyle w:val="czeindeksu"/>
                <w:rFonts w:cs="Arial" w:ascii="Arial" w:hAnsi="Arial"/>
                <w:color w:val="auto"/>
              </w:rPr>
              <w:t>Podsumowanie diagnozy, wnioski i rekomendacje</w:t>
            </w:r>
            <w:r>
              <w:rPr>
                <w:rStyle w:val="czeindeksu"/>
                <w:rFonts w:cs="Arial" w:ascii="Arial" w:hAnsi="Arial"/>
                <w:vanish w:val="false"/>
              </w:rPr>
              <w:tab/>
            </w:r>
            <w:r>
              <w:rPr>
                <w:webHidden/>
              </w:rPr>
              <w:fldChar w:fldCharType="begin"/>
            </w:r>
            <w:r>
              <w:rPr>
                <w:webHidden/>
              </w:rPr>
              <w:instrText xml:space="preserve">PAGEREF _Toc211356430 \h</w:instrText>
            </w:r>
            <w:r>
              <w:rPr>
                <w:webHidden/>
              </w:rPr>
              <w:fldChar w:fldCharType="separate"/>
            </w:r>
            <w:r>
              <w:rPr>
                <w:rStyle w:val="czeindeksu"/>
                <w:rFonts w:cs="Arial" w:ascii="Arial" w:hAnsi="Arial"/>
                <w:vanish w:val="false"/>
              </w:rPr>
              <w:t>140</w:t>
            </w:r>
            <w:r>
              <w:rPr>
                <w:webHidden/>
              </w:rPr>
              <w:fldChar w:fldCharType="end"/>
            </w:r>
          </w:hyperlink>
        </w:p>
        <w:p>
          <w:pPr>
            <w:pStyle w:val="TOC1"/>
            <w:tabs>
              <w:tab w:val="clear" w:pos="708"/>
              <w:tab w:val="right" w:pos="9062" w:leader="dot"/>
            </w:tabs>
            <w:jc w:val="both"/>
            <w:rPr>
              <w:rFonts w:ascii="Arial" w:hAnsi="Arial" w:eastAsia="" w:cs="Arial" w:eastAsiaTheme="minorEastAsia"/>
              <w:lang w:eastAsia="pl-PL"/>
            </w:rPr>
          </w:pPr>
          <w:hyperlink w:anchor="_Toc211356431">
            <w:r>
              <w:rPr>
                <w:webHidden/>
                <w:rStyle w:val="czeindeksu"/>
                <w:rFonts w:cs="Arial" w:ascii="Arial" w:hAnsi="Arial"/>
                <w:vanish w:val="false"/>
                <w:color w:val="auto"/>
              </w:rPr>
              <w:t>Spis wykresów</w:t>
            </w:r>
            <w:r>
              <w:rPr>
                <w:rStyle w:val="czeindeksu"/>
                <w:rFonts w:cs="Arial" w:ascii="Arial" w:hAnsi="Arial"/>
                <w:vanish w:val="false"/>
              </w:rPr>
              <w:tab/>
            </w:r>
            <w:r>
              <w:rPr>
                <w:webHidden/>
              </w:rPr>
              <w:fldChar w:fldCharType="begin"/>
            </w:r>
            <w:r>
              <w:rPr>
                <w:webHidden/>
              </w:rPr>
              <w:instrText xml:space="preserve">PAGEREF _Toc211356431 \h</w:instrText>
            </w:r>
            <w:r>
              <w:rPr>
                <w:webHidden/>
              </w:rPr>
              <w:fldChar w:fldCharType="separate"/>
            </w:r>
            <w:r>
              <w:rPr>
                <w:rStyle w:val="czeindeksu"/>
                <w:rFonts w:cs="Arial" w:ascii="Arial" w:hAnsi="Arial"/>
                <w:vanish w:val="false"/>
              </w:rPr>
              <w:t>145</w:t>
            </w:r>
            <w:r>
              <w:rPr>
                <w:webHidden/>
              </w:rPr>
              <w:fldChar w:fldCharType="end"/>
            </w:r>
          </w:hyperlink>
        </w:p>
        <w:p>
          <w:pPr>
            <w:pStyle w:val="TOC1"/>
            <w:tabs>
              <w:tab w:val="clear" w:pos="708"/>
              <w:tab w:val="right" w:pos="9062" w:leader="dot"/>
            </w:tabs>
            <w:jc w:val="both"/>
            <w:rPr>
              <w:rFonts w:ascii="Arial" w:hAnsi="Arial" w:eastAsia="" w:cs="Arial" w:eastAsiaTheme="minorEastAsia"/>
              <w:lang w:eastAsia="pl-PL"/>
            </w:rPr>
          </w:pPr>
          <w:hyperlink w:anchor="_Toc211356432">
            <w:r>
              <w:rPr>
                <w:webHidden/>
                <w:rStyle w:val="czeindeksu"/>
                <w:rFonts w:cs="Arial" w:ascii="Arial" w:hAnsi="Arial"/>
                <w:vanish w:val="false"/>
                <w:color w:val="auto"/>
              </w:rPr>
              <w:t>Spis tabel</w:t>
            </w:r>
            <w:r>
              <w:rPr>
                <w:rStyle w:val="czeindeksu"/>
                <w:rFonts w:cs="Arial" w:ascii="Arial" w:hAnsi="Arial"/>
                <w:vanish w:val="false"/>
              </w:rPr>
              <w:tab/>
            </w:r>
            <w:r>
              <w:rPr>
                <w:webHidden/>
              </w:rPr>
              <w:fldChar w:fldCharType="begin"/>
            </w:r>
            <w:r>
              <w:rPr>
                <w:webHidden/>
              </w:rPr>
              <w:instrText xml:space="preserve">PAGEREF _Toc211356432 \h</w:instrText>
            </w:r>
            <w:r>
              <w:rPr>
                <w:webHidden/>
              </w:rPr>
              <w:fldChar w:fldCharType="separate"/>
            </w:r>
            <w:r>
              <w:rPr>
                <w:rStyle w:val="czeindeksu"/>
                <w:rFonts w:cs="Arial" w:ascii="Arial" w:hAnsi="Arial"/>
                <w:vanish w:val="false"/>
              </w:rPr>
              <w:t>146</w:t>
            </w:r>
            <w:r>
              <w:rPr>
                <w:webHidden/>
              </w:rPr>
              <w:fldChar w:fldCharType="end"/>
            </w:r>
          </w:hyperlink>
        </w:p>
        <w:p>
          <w:pPr>
            <w:pStyle w:val="TOC1"/>
            <w:tabs>
              <w:tab w:val="clear" w:pos="708"/>
              <w:tab w:val="right" w:pos="9062" w:leader="dot"/>
            </w:tabs>
            <w:jc w:val="both"/>
            <w:rPr>
              <w:rFonts w:ascii="Arial" w:hAnsi="Arial" w:eastAsia="" w:cs="Arial" w:eastAsiaTheme="minorEastAsia"/>
              <w:lang w:eastAsia="pl-PL"/>
            </w:rPr>
          </w:pPr>
          <w:hyperlink w:anchor="_Toc211356433">
            <w:r>
              <w:rPr>
                <w:webHidden/>
                <w:rStyle w:val="czeindeksu"/>
                <w:rFonts w:cs="Arial" w:ascii="Arial" w:hAnsi="Arial"/>
                <w:vanish w:val="false"/>
                <w:color w:val="auto"/>
              </w:rPr>
              <w:t>Załączniki</w:t>
            </w:r>
            <w:r>
              <w:rPr>
                <w:rStyle w:val="czeindeksu"/>
                <w:rFonts w:cs="Arial" w:ascii="Arial" w:hAnsi="Arial"/>
                <w:vanish w:val="false"/>
              </w:rPr>
              <w:tab/>
            </w:r>
            <w:r>
              <w:rPr>
                <w:webHidden/>
              </w:rPr>
              <w:fldChar w:fldCharType="begin"/>
            </w:r>
            <w:r>
              <w:rPr>
                <w:webHidden/>
              </w:rPr>
              <w:instrText xml:space="preserve">PAGEREF _Toc211356433 \h</w:instrText>
            </w:r>
            <w:r>
              <w:rPr>
                <w:webHidden/>
              </w:rPr>
              <w:fldChar w:fldCharType="separate"/>
            </w:r>
            <w:r>
              <w:rPr>
                <w:rStyle w:val="czeindeksu"/>
                <w:rFonts w:cs="Arial" w:ascii="Arial" w:hAnsi="Arial"/>
                <w:vanish w:val="false"/>
              </w:rPr>
              <w:t>147</w:t>
            </w:r>
            <w:r>
              <w:rPr>
                <w:webHidden/>
              </w:rPr>
              <w:fldChar w:fldCharType="end"/>
            </w:r>
          </w:hyperlink>
        </w:p>
        <w:p>
          <w:pPr>
            <w:pStyle w:val="Normal"/>
            <w:jc w:val="both"/>
            <w:rPr/>
          </w:pPr>
          <w:r>
            <w:rPr/>
          </w:r>
          <w:r>
            <w:rPr/>
            <w:fldChar w:fldCharType="end"/>
          </w:r>
        </w:p>
      </w:sdtContent>
    </w:sdt>
    <w:p>
      <w:pPr>
        <w:pStyle w:val="Heading1"/>
        <w:rPr/>
      </w:pPr>
      <w:r>
        <w:rPr/>
      </w:r>
    </w:p>
    <w:p>
      <w:pPr>
        <w:pStyle w:val="Normal"/>
        <w:rPr/>
      </w:pPr>
      <w:r>
        <w:rPr/>
      </w:r>
    </w:p>
    <w:p>
      <w:pPr>
        <w:pStyle w:val="Normal"/>
        <w:jc w:val="both"/>
        <w:rPr/>
      </w:pPr>
      <w:r>
        <w:rPr/>
      </w:r>
    </w:p>
    <w:p>
      <w:pPr>
        <w:pStyle w:val="Heading1"/>
        <w:numPr>
          <w:ilvl w:val="0"/>
          <w:numId w:val="1"/>
        </w:numPr>
        <w:rPr>
          <w:color w:val="00204F"/>
          <w:sz w:val="28"/>
          <w:szCs w:val="28"/>
        </w:rPr>
      </w:pPr>
      <w:bookmarkStart w:id="0" w:name="_Toc211356334"/>
      <w:r>
        <w:rPr>
          <w:color w:val="00204F"/>
          <w:sz w:val="28"/>
          <w:szCs w:val="28"/>
        </w:rPr>
        <w:t>Wprowadzenie</w:t>
      </w:r>
      <w:bookmarkEnd w:id="0"/>
      <w:r>
        <w:rPr>
          <w:color w:val="00204F"/>
          <w:sz w:val="28"/>
          <w:szCs w:val="28"/>
        </w:rPr>
        <w:t xml:space="preserve">  </w:t>
      </w:r>
    </w:p>
    <w:p>
      <w:pPr>
        <w:pStyle w:val="Normal"/>
        <w:spacing w:lineRule="auto" w:line="360" w:before="0" w:after="41"/>
        <w:ind w:left="360"/>
        <w:jc w:val="both"/>
        <w:rPr>
          <w:rFonts w:ascii="Arial" w:hAnsi="Arial" w:cs="Arial"/>
        </w:rPr>
      </w:pPr>
      <w:r>
        <w:rPr>
          <w:rFonts w:cs="Arial" w:ascii="Arial" w:hAnsi="Arial"/>
        </w:rPr>
      </w:r>
    </w:p>
    <w:p>
      <w:pPr>
        <w:pStyle w:val="Normal"/>
        <w:spacing w:lineRule="auto" w:line="360" w:before="0" w:after="41"/>
        <w:ind w:firstLine="641"/>
        <w:jc w:val="both"/>
        <w:rPr>
          <w:rFonts w:ascii="Arial" w:hAnsi="Arial" w:cs="Arial"/>
        </w:rPr>
      </w:pPr>
      <w:r>
        <w:rPr>
          <w:rFonts w:cs="Arial" w:ascii="Arial" w:hAnsi="Arial"/>
        </w:rPr>
        <w:t xml:space="preserve">Przedmiotem opracowania jest opis procesu przygotowania i realizacji diagnozy potrzeb i potencjału wspólnoty samorządowej Gminy Bychawa w zakresie usług społecznych oraz przedstawienie wyników diagnozy. </w:t>
      </w:r>
    </w:p>
    <w:p>
      <w:pPr>
        <w:pStyle w:val="Normal"/>
        <w:spacing w:lineRule="auto" w:line="360" w:before="0" w:after="41"/>
        <w:ind w:firstLine="641"/>
        <w:jc w:val="both"/>
        <w:rPr>
          <w:rFonts w:ascii="Arial" w:hAnsi="Arial" w:cs="Arial"/>
        </w:rPr>
      </w:pPr>
      <w:r>
        <w:rPr>
          <w:rFonts w:cs="Arial" w:ascii="Arial" w:hAnsi="Arial"/>
        </w:rPr>
        <w:t xml:space="preserve">Całość prac została wykonana w ramach zadań projektu </w:t>
      </w:r>
      <w:bookmarkStart w:id="1" w:name="_Hlk210901170"/>
      <w:r>
        <w:rPr>
          <w:rFonts w:cs="Arial" w:ascii="Arial" w:hAnsi="Arial"/>
        </w:rPr>
        <w:t>Centrum Usług Społecznych w Gminie Bychawa, dofinansowanego ze środków Unii Europejskiej w ramach Działania 8.5 Usługi Społeczne, Priorytetu VIII Zwiększenie spójności</w:t>
      </w:r>
      <w:r>
        <w:rPr>
          <w:rFonts w:cs="Arial" w:ascii="Arial" w:hAnsi="Arial"/>
          <w:b/>
          <w:bCs/>
        </w:rPr>
        <w:t xml:space="preserve"> </w:t>
      </w:r>
      <w:r>
        <w:rPr>
          <w:rFonts w:cs="Arial" w:ascii="Arial" w:hAnsi="Arial"/>
        </w:rPr>
        <w:t xml:space="preserve">społecznej Programu Fundusze Europejskie dla Lubelskiego na lata 2021–2027. </w:t>
      </w:r>
      <w:bookmarkEnd w:id="1"/>
    </w:p>
    <w:p>
      <w:pPr>
        <w:pStyle w:val="Normal"/>
        <w:spacing w:lineRule="auto" w:line="360" w:before="0" w:after="41"/>
        <w:ind w:firstLine="641"/>
        <w:jc w:val="both"/>
        <w:rPr>
          <w:rFonts w:ascii="Arial" w:hAnsi="Arial" w:cs="Arial"/>
        </w:rPr>
      </w:pPr>
      <w:r>
        <w:rPr>
          <w:rFonts w:cs="Arial" w:ascii="Arial" w:hAnsi="Arial"/>
        </w:rPr>
        <w:t xml:space="preserve">Diagnoza potrzeb i potencjału wspólnoty samorządowej jest jednym z kluczowych działań, pozwalających na podjęcie decyzji o utworzeniu i jednocześnie uzasadniających tworzenie centrum usług społecznych. Ustawa z dnia 19 lipca                  2019 r. o realizowaniu usług społecznych przez centrum usług społecznych (Dz. U.                   z 2019 r. poz. 1818 z póź.zm.) stanowi, że centrum usług społecznych, jako instytucja odpowiedzialna za realizację usług społecznych na poziomie lokalnym, powinno opierać swoje działania na trafnie rozpoznanych potrzebach i potencjale społeczności i ma zadanie okresowego przeprowadzania diagnozy potrzeb i potencjału społeczności lokalnej w zakresie usług społecznych ale też przeprowadzenie diagnozy w pierwszym etapie prac przygotowujących do utworzenia centrum usług społecznych. </w:t>
      </w:r>
    </w:p>
    <w:p>
      <w:pPr>
        <w:pStyle w:val="Normal"/>
        <w:spacing w:lineRule="auto" w:line="360" w:before="0" w:after="41"/>
        <w:ind w:firstLine="641"/>
        <w:jc w:val="both"/>
        <w:rPr>
          <w:rFonts w:ascii="Arial" w:hAnsi="Arial" w:cs="Arial"/>
        </w:rPr>
      </w:pPr>
      <w:r>
        <w:rPr>
          <w:rFonts w:cs="Arial" w:ascii="Arial" w:hAnsi="Arial"/>
        </w:rPr>
        <w:t>Opracowanie diagnozy potrzeb i potencjału wspólnoty samorządowej nie może odbyć się bez zaangażowania mieszkańców gminy, którzy będą odbiorcami usług. Współpraca i aktywny udział przedstawicieli społeczności lokalnej w procedurach diagnostycznych jest wyrazem podmiotowego traktowania mieszkańców przez władze samorządowe, które tworzą centrum i współfinansują jego funkcjonowanie.</w:t>
      </w:r>
    </w:p>
    <w:p>
      <w:pPr>
        <w:pStyle w:val="Normal"/>
        <w:spacing w:lineRule="auto" w:line="360" w:before="0" w:after="41"/>
        <w:ind w:firstLine="641"/>
        <w:jc w:val="both"/>
        <w:rPr>
          <w:rFonts w:ascii="Arial" w:hAnsi="Arial" w:cs="Arial"/>
        </w:rPr>
      </w:pPr>
      <w:r>
        <w:rPr>
          <w:rFonts w:cs="Arial" w:ascii="Arial" w:hAnsi="Arial"/>
        </w:rPr>
        <w:t xml:space="preserve">Podmiotowe traktowanie mieszkańców jest bardzo ważnym założeniem ideowym i prakseologicznym w utworzeniu centrum usług społecznych. Aktywny udział mieszkańców w procedurach diagnostycznych ma także istotny walor ekonomiczny, w nowoczesnym ujęciu podkreśla się, że usługi społeczne to wsparcie niematerialne udzielane przez specjalistów w bezpośredniej styczności z odbiorcami. </w:t>
      </w:r>
    </w:p>
    <w:p>
      <w:pPr>
        <w:pStyle w:val="Normal"/>
        <w:spacing w:lineRule="auto" w:line="360" w:before="0" w:after="41"/>
        <w:ind w:firstLine="641"/>
        <w:jc w:val="both"/>
        <w:rPr>
          <w:rFonts w:ascii="Arial" w:hAnsi="Arial" w:cs="Arial"/>
        </w:rPr>
      </w:pPr>
      <w:r>
        <w:rPr>
          <w:rFonts w:cs="Arial" w:ascii="Arial" w:hAnsi="Arial"/>
        </w:rPr>
        <w:t>Bezpośrednia styczność sprawia, że odbiorcy stają się de facto kooperującymi ze sobą w procesie dostarczania usług, zwłaszcza tych spersonalizowanych, szytych na miarę. Aktywny udział odbiorców i podmiotów świadczących usługi już na etapie diagnozowania przekłada się na trafność i efektywność późniejszego świadczenia usług, co – ujmując to najprościej – po prostu się opłaca. Najlepiej widać                                      to w przypadku działań wspierających o charakterze samopomocowym, wolontariackim i sąsiedzkim, które są realizowane przez samych mieszkańców na zasadzie „jedni drugim” lub „sobie nawzajem”. Także profesjonalne usługi mają wymiar kooperacyjny. Właśnie dlatego diagnoza obejmuje w odniesieniu do usług społecznych dwie części składowe: określenie potrzeb mieszkańców oraz określenie lokalnego potencjału usługowego, w podejściu kooperacyjnym do rozwoju usług społecznych niezbędne są obie te części.</w:t>
      </w:r>
    </w:p>
    <w:p>
      <w:pPr>
        <w:pStyle w:val="Normal"/>
        <w:spacing w:lineRule="auto" w:line="360" w:before="0" w:after="41"/>
        <w:ind w:firstLine="641"/>
        <w:jc w:val="both"/>
        <w:rPr>
          <w:rFonts w:ascii="Arial" w:hAnsi="Arial" w:cs="Arial"/>
        </w:rPr>
      </w:pPr>
      <w:r>
        <w:rPr>
          <w:rFonts w:cs="Arial" w:ascii="Arial" w:hAnsi="Arial"/>
        </w:rPr>
        <w:t xml:space="preserve">Diagnoza potrzeb i potencjału wspólnoty wyznacza dla tego etapu prac istotne cele oraz funkcje do wypełnienia. Celem diagnozy jest dostarczenie władzom gminy informacji o potrzebach mieszkańców w zakresie usług społecznych oraz danych o potencjale usługowym środowiska lokalnego. </w:t>
      </w:r>
    </w:p>
    <w:p>
      <w:pPr>
        <w:pStyle w:val="Normal"/>
        <w:spacing w:lineRule="auto" w:line="360" w:before="0" w:after="41"/>
        <w:ind w:firstLine="641"/>
        <w:jc w:val="both"/>
        <w:rPr>
          <w:rFonts w:ascii="Arial" w:hAnsi="Arial" w:cs="Arial"/>
        </w:rPr>
      </w:pPr>
      <w:r>
        <w:rPr>
          <w:rFonts w:cs="Arial" w:ascii="Arial" w:hAnsi="Arial"/>
        </w:rPr>
        <w:t xml:space="preserve">Na podstawie tych informacji Rada Miejska, opracowując program usług społecznych, będzie mogła trafniej odpowiedzieć na rzeczywiste potrzeby mieszkańców w zakresie usług społecznych. </w:t>
      </w:r>
    </w:p>
    <w:p>
      <w:pPr>
        <w:pStyle w:val="Normal"/>
        <w:spacing w:lineRule="auto" w:line="360" w:before="0" w:after="41"/>
        <w:ind w:firstLine="641"/>
        <w:jc w:val="both"/>
        <w:rPr>
          <w:rFonts w:ascii="Arial" w:hAnsi="Arial" w:cs="Arial"/>
        </w:rPr>
      </w:pPr>
      <w:r>
        <w:rPr>
          <w:rFonts w:cs="Arial" w:ascii="Arial" w:hAnsi="Arial"/>
        </w:rPr>
        <w:t>Jednym z istotnych efektów diagnozy jest stworzenie i rozwój bazy informacji o dostępnych na obszarze działania centrum usługach społecznych. Dzięki trafnej i rzetelnej diagnozie centrum ma szansę spełnić zasady, które określa art. 14 ustawy o realizowaniu usług społecznych przez centrum usług społecznych: tj. powszechności, podmiotowości, jakości, kompleksowości, współpracy, pomocniczości, wzmacniania więzi społecznych.</w:t>
      </w:r>
    </w:p>
    <w:p>
      <w:pPr>
        <w:pStyle w:val="Normal"/>
        <w:spacing w:lineRule="auto" w:line="360"/>
        <w:ind w:firstLine="641"/>
        <w:jc w:val="both"/>
        <w:rPr>
          <w:rFonts w:ascii="Arial" w:hAnsi="Arial" w:cs="Arial"/>
        </w:rPr>
      </w:pPr>
      <w:r>
        <w:rPr>
          <w:rFonts w:cs="Arial" w:ascii="Arial" w:hAnsi="Arial"/>
        </w:rPr>
        <w:t xml:space="preserve">Diagnoza spełnia kilka ważnych społecznie funkcji: </w:t>
      </w:r>
    </w:p>
    <w:p>
      <w:pPr>
        <w:pStyle w:val="ListParagraph"/>
        <w:numPr>
          <w:ilvl w:val="0"/>
          <w:numId w:val="3"/>
        </w:numPr>
        <w:spacing w:lineRule="auto" w:line="360"/>
        <w:jc w:val="both"/>
        <w:rPr>
          <w:rFonts w:ascii="Arial" w:hAnsi="Arial" w:cs="Arial"/>
        </w:rPr>
      </w:pPr>
      <w:r>
        <w:rPr>
          <w:rFonts w:cs="Arial" w:ascii="Arial" w:hAnsi="Arial"/>
        </w:rPr>
        <w:t xml:space="preserve">Jest źródłem wiedzy na temat najistotniejszych potrzeb mieszkańców. </w:t>
      </w:r>
    </w:p>
    <w:p>
      <w:pPr>
        <w:pStyle w:val="ListParagraph"/>
        <w:numPr>
          <w:ilvl w:val="0"/>
          <w:numId w:val="3"/>
        </w:numPr>
        <w:spacing w:lineRule="auto" w:line="360"/>
        <w:jc w:val="both"/>
        <w:rPr>
          <w:rFonts w:ascii="Arial" w:hAnsi="Arial" w:cs="Arial"/>
        </w:rPr>
      </w:pPr>
      <w:r>
        <w:rPr>
          <w:rFonts w:cs="Arial" w:ascii="Arial" w:hAnsi="Arial"/>
        </w:rPr>
        <w:t xml:space="preserve">Identyfikuje i opisuje potencjał mieszkańców oraz lokalnych instytucji i organizacji w zakresie organizacji i dostarczania usług. </w:t>
      </w:r>
    </w:p>
    <w:p>
      <w:pPr>
        <w:pStyle w:val="ListParagraph"/>
        <w:numPr>
          <w:ilvl w:val="0"/>
          <w:numId w:val="3"/>
        </w:numPr>
        <w:spacing w:lineRule="auto" w:line="360"/>
        <w:jc w:val="both"/>
        <w:rPr>
          <w:rFonts w:ascii="Arial" w:hAnsi="Arial" w:cs="Arial"/>
        </w:rPr>
      </w:pPr>
      <w:r>
        <w:rPr>
          <w:rFonts w:cs="Arial" w:ascii="Arial" w:hAnsi="Arial"/>
        </w:rPr>
        <w:t xml:space="preserve">Stanowi podstawę planowania i wdrażania kompleksowych działań. </w:t>
      </w:r>
    </w:p>
    <w:p>
      <w:pPr>
        <w:pStyle w:val="ListParagraph"/>
        <w:numPr>
          <w:ilvl w:val="0"/>
          <w:numId w:val="3"/>
        </w:numPr>
        <w:spacing w:lineRule="auto" w:line="360"/>
        <w:jc w:val="both"/>
        <w:rPr>
          <w:rFonts w:ascii="Arial" w:hAnsi="Arial" w:cs="Arial"/>
        </w:rPr>
      </w:pPr>
      <w:r>
        <w:rPr>
          <w:rFonts w:cs="Arial" w:ascii="Arial" w:hAnsi="Arial"/>
        </w:rPr>
        <w:t>Określa sposoby zapewnienia wysokiej jakości usług.</w:t>
      </w:r>
    </w:p>
    <w:p>
      <w:pPr>
        <w:pStyle w:val="ListParagraph"/>
        <w:numPr>
          <w:ilvl w:val="0"/>
          <w:numId w:val="3"/>
        </w:numPr>
        <w:spacing w:lineRule="auto" w:line="360"/>
        <w:jc w:val="both"/>
        <w:rPr>
          <w:rFonts w:ascii="Arial" w:hAnsi="Arial" w:cs="Arial"/>
        </w:rPr>
      </w:pPr>
      <w:r>
        <w:rPr>
          <w:rFonts w:cs="Arial" w:ascii="Arial" w:hAnsi="Arial"/>
        </w:rPr>
        <w:t xml:space="preserve">Wskazuje możliwości rozwiązywania zidentyfikowanych problemów. </w:t>
      </w:r>
    </w:p>
    <w:p>
      <w:pPr>
        <w:pStyle w:val="ListParagraph"/>
        <w:numPr>
          <w:ilvl w:val="0"/>
          <w:numId w:val="3"/>
        </w:numPr>
        <w:spacing w:lineRule="auto" w:line="360"/>
        <w:jc w:val="both"/>
        <w:rPr>
          <w:rFonts w:ascii="Arial" w:hAnsi="Arial" w:cs="Arial"/>
        </w:rPr>
      </w:pPr>
      <w:r>
        <w:rPr>
          <w:rFonts w:cs="Arial" w:ascii="Arial" w:hAnsi="Arial"/>
        </w:rPr>
        <w:t xml:space="preserve">Określa obszary zaangażowania różnych grup mieszkańców w proces rozwiązywania wspólnych problemów. </w:t>
      </w:r>
    </w:p>
    <w:p>
      <w:pPr>
        <w:pStyle w:val="ListParagraph"/>
        <w:numPr>
          <w:ilvl w:val="0"/>
          <w:numId w:val="3"/>
        </w:numPr>
        <w:spacing w:lineRule="auto" w:line="360"/>
        <w:jc w:val="both"/>
        <w:rPr>
          <w:rFonts w:ascii="Arial" w:hAnsi="Arial" w:cs="Arial"/>
        </w:rPr>
      </w:pPr>
      <w:r>
        <w:rPr>
          <w:rFonts w:cs="Arial" w:ascii="Arial" w:hAnsi="Arial"/>
        </w:rPr>
        <w:t>Zawiera rekomendacje dotyczące zasad współpracy między podmiotami publicznymi, społecznymi i komercyjnymi.</w:t>
      </w:r>
    </w:p>
    <w:p>
      <w:pPr>
        <w:pStyle w:val="Normal"/>
        <w:spacing w:lineRule="auto" w:line="360"/>
        <w:ind w:firstLine="708"/>
        <w:jc w:val="both"/>
        <w:rPr>
          <w:rFonts w:ascii="Arial" w:hAnsi="Arial" w:cs="Arial"/>
        </w:rPr>
      </w:pPr>
      <w:r>
        <w:rPr>
          <w:rFonts w:cs="Arial" w:ascii="Arial" w:hAnsi="Arial"/>
        </w:rPr>
        <w:t xml:space="preserve">Diagnoza potrzeb i potencjału wspólnoty lokalnej jest nie tylko narzędziem niezbędnym przy podejmowaniu decyzji o utworzeniu i działaniu CUS, ale też podstawą do opracowania programów usług społecznych gminy. Przy czym sama diagnoza powinna być sporządzana w pierwszym etapie prac zmierzających do utworzenia CUS z możliwością jej późniejszych aktualizacji, natomiast programy przyjmowane są stosownie do możliwości finansowych gminy i innych uwarunkowań w dowolnym momencie i mogą obejmować różne elementy zdiagnozowanych potrzeb mieszkańców i potencjałów usługowych lokalnego środowiska. Istotną zasadą jest konsultowanie wyników diagnozy z mieszkańcami oraz reprezentującymi ich instytucjami i organizacjami, w tym organizacjami trzeciego sektora. </w:t>
      </w:r>
    </w:p>
    <w:p>
      <w:pPr>
        <w:pStyle w:val="Normal"/>
        <w:spacing w:lineRule="auto" w:line="360"/>
        <w:ind w:firstLine="708"/>
        <w:jc w:val="both"/>
        <w:rPr>
          <w:rFonts w:ascii="Arial" w:hAnsi="Arial" w:cs="Arial"/>
        </w:rPr>
      </w:pPr>
      <w:r>
        <w:rPr>
          <w:rFonts w:cs="Arial" w:ascii="Arial" w:hAnsi="Arial"/>
        </w:rPr>
        <w:t xml:space="preserve">Diagnoza umożliwi wskazanie i opisanie katalogu potrzeb uzasadniających realizację programu. Ważnym zadaniem diagnozy jest również: </w:t>
      </w:r>
    </w:p>
    <w:p>
      <w:pPr>
        <w:pStyle w:val="ListParagraph"/>
        <w:numPr>
          <w:ilvl w:val="0"/>
          <w:numId w:val="2"/>
        </w:numPr>
        <w:spacing w:lineRule="auto" w:line="360"/>
        <w:jc w:val="both"/>
        <w:rPr>
          <w:rFonts w:ascii="Arial" w:hAnsi="Arial" w:cs="Arial"/>
        </w:rPr>
      </w:pPr>
      <w:r>
        <w:rPr>
          <w:rFonts w:cs="Arial" w:ascii="Arial" w:hAnsi="Arial"/>
        </w:rPr>
        <w:t xml:space="preserve">określenie przewidywanej liczby osób objętych programem, </w:t>
      </w:r>
    </w:p>
    <w:p>
      <w:pPr>
        <w:pStyle w:val="ListParagraph"/>
        <w:numPr>
          <w:ilvl w:val="0"/>
          <w:numId w:val="2"/>
        </w:numPr>
        <w:spacing w:lineRule="auto" w:line="360"/>
        <w:jc w:val="both"/>
        <w:rPr>
          <w:rFonts w:ascii="Arial" w:hAnsi="Arial" w:cs="Arial"/>
        </w:rPr>
      </w:pPr>
      <w:r>
        <w:rPr>
          <w:rFonts w:cs="Arial" w:ascii="Arial" w:hAnsi="Arial"/>
        </w:rPr>
        <w:t xml:space="preserve">ustalenie katalogu usług społecznych i czynności wykonywanych w ramach usług oferowanych w programie, </w:t>
      </w:r>
    </w:p>
    <w:p>
      <w:pPr>
        <w:pStyle w:val="ListParagraph"/>
        <w:numPr>
          <w:ilvl w:val="0"/>
          <w:numId w:val="2"/>
        </w:numPr>
        <w:spacing w:lineRule="auto" w:line="360"/>
        <w:jc w:val="both"/>
        <w:rPr>
          <w:rFonts w:ascii="Arial" w:hAnsi="Arial" w:cs="Arial"/>
        </w:rPr>
      </w:pPr>
      <w:r>
        <w:rPr>
          <w:rFonts w:cs="Arial" w:ascii="Arial" w:hAnsi="Arial"/>
        </w:rPr>
        <w:t xml:space="preserve">określenie warunków i trybu kwalifikowania osób zainteresowanych do korzystania z usług społecznych, </w:t>
      </w:r>
    </w:p>
    <w:p>
      <w:pPr>
        <w:pStyle w:val="ListParagraph"/>
        <w:numPr>
          <w:ilvl w:val="0"/>
          <w:numId w:val="2"/>
        </w:numPr>
        <w:spacing w:lineRule="auto" w:line="360"/>
        <w:jc w:val="both"/>
        <w:rPr>
          <w:rFonts w:ascii="Arial" w:hAnsi="Arial" w:cs="Arial"/>
        </w:rPr>
      </w:pPr>
      <w:r>
        <w:rPr>
          <w:rFonts w:cs="Arial" w:ascii="Arial" w:hAnsi="Arial"/>
        </w:rPr>
        <w:t>ustalanie podstawowych zasad i sposobu realizacji usług społecznych.</w:t>
      </w:r>
    </w:p>
    <w:p>
      <w:pPr>
        <w:pStyle w:val="Normal"/>
        <w:spacing w:lineRule="auto" w:line="360"/>
        <w:ind w:firstLine="708"/>
        <w:jc w:val="both"/>
        <w:rPr>
          <w:rFonts w:ascii="Arial" w:hAnsi="Arial" w:cs="Arial"/>
        </w:rPr>
      </w:pPr>
      <w:r>
        <w:rPr>
          <w:rFonts w:cs="Arial" w:ascii="Arial" w:hAnsi="Arial"/>
        </w:rPr>
        <w:t xml:space="preserve">Diagnoza potrzeb i potencjału jest też niezbędna przy opracowaniu „Planu organizowania społeczności lokalnej”, który jest ważnym narzędziem profilującym działalność centrum usług społecznych (patrz art. 20 ustawy o CUS). Plan jest dokumentem wewnętrznym, opracowywanym przez zatrudnionego w centrum organizatora społeczności lokalnej. </w:t>
      </w:r>
    </w:p>
    <w:p>
      <w:pPr>
        <w:pStyle w:val="Normal"/>
        <w:spacing w:lineRule="auto" w:line="360"/>
        <w:ind w:firstLine="708"/>
        <w:jc w:val="both"/>
        <w:rPr>
          <w:rFonts w:ascii="Arial" w:hAnsi="Arial" w:cs="Arial"/>
        </w:rPr>
      </w:pPr>
      <w:r>
        <w:rPr>
          <w:rFonts w:cs="Arial" w:ascii="Arial" w:hAnsi="Arial"/>
        </w:rPr>
        <w:t>Plan jest przygotowywany w celu metodycznego uporządkowania pracy środowiskowej, obejmującej ogół działań na rzecz integracji i rozwoju wspólnoty samorządowej. Operacyjnym celem tego dokumentu jest określenie zasad i sposobów organizowania działań wspierających o charakterze samopomocowym, sąsiedzkim i wolontaryjnym. Plan organizowania społeczności lokalnej powinien uwzględniać wyniki przeprowadzonego przez organizatora społeczności lokalnej rozpoznania potrzeb i potencjału wspólnoty samorządowej w zakresie działań wspierających, ale także ustaleniu - na podstawie prezentowanej w dalszej części niniejszego opracowania diagnozy potrzeb i potencjału społeczności lokalnej - kierunków działań w zakresie organizacji i rozwoju usług społecznych. Działania wspierające powinny bowiem w sposób funkcjonalny uzupełniać usługi społeczne świadczone przez specjalistów reprezentujących różne profesje i zawody pomocowe.</w:t>
      </w:r>
    </w:p>
    <w:p>
      <w:pPr>
        <w:pStyle w:val="Normal"/>
        <w:spacing w:lineRule="auto" w:line="360"/>
        <w:ind w:firstLine="708"/>
        <w:jc w:val="both"/>
        <w:rPr>
          <w:rFonts w:ascii="Arial" w:hAnsi="Arial" w:cs="Arial"/>
        </w:rPr>
      </w:pPr>
      <w:r>
        <w:rPr>
          <w:rFonts w:cs="Arial" w:ascii="Arial" w:hAnsi="Arial"/>
        </w:rPr>
        <w:t>Przedstawiona w dalszej części opracowania diagnoza potrzeb i potencjału wspólnoty samorządowej w zakresie organizowania i zapewnienia usług jest początkiem długofalowego procesu diagnostycznego, który powinien być kontynuowany przez utworzone Centrum Usług Społecznych w momencie tworzenia centrum usług społecznych proces diagnostyczny jest w pewien sposób ograniczony, głównie brakiem wiedzy na temat usług społecznych wśród ogółu mieszkańców, ale też chęcią wypowiadania się w sprawach wspólnoty. To powoduje, że diagnozę należy kontynuować z wykorzystaniem pojawiających się możliwości.</w:t>
      </w:r>
    </w:p>
    <w:p>
      <w:pPr>
        <w:pStyle w:val="Normal"/>
        <w:spacing w:lineRule="auto" w:line="360"/>
        <w:ind w:firstLine="708"/>
        <w:jc w:val="both"/>
        <w:rPr>
          <w:rFonts w:ascii="Arial" w:hAnsi="Arial" w:cs="Arial"/>
        </w:rPr>
      </w:pPr>
      <w:r>
        <w:rPr>
          <w:rFonts w:cs="Arial" w:ascii="Arial" w:hAnsi="Arial"/>
        </w:rPr>
        <w:t>Należy przyjąć, że kolejnym etapem diagnostycznym będzie analiza i ewaluacja wdrożonego przez Gminę Bychawa programu usług społecznych oraz planu organizowania społeczności lokalnej, które umożliwią lepsze poznanie potrzeb mieszkańców. Można założyć, że najbardziej trafne spostrzeżenia na temat usług społecznych ich rodzaju, formy i zakresu przekażą odbiorcy usług po pewnym okresie korzystania z tych usług. Taka informacja pojawi się w trakcie monitorowania indywidulanych planów usług społecznych przez koordynatorów w CUS oraz w trakcie badań ewaluacyjnych wykonywanych na poziomie CUS.</w:t>
      </w:r>
    </w:p>
    <w:p>
      <w:pPr>
        <w:pStyle w:val="Normal"/>
        <w:spacing w:lineRule="auto" w:line="360"/>
        <w:ind w:firstLine="708"/>
        <w:jc w:val="both"/>
        <w:rPr>
          <w:rFonts w:ascii="Arial" w:hAnsi="Arial" w:cs="Arial"/>
        </w:rPr>
      </w:pPr>
      <w:r>
        <w:rPr>
          <w:rFonts w:cs="Arial" w:ascii="Arial" w:hAnsi="Arial"/>
        </w:rPr>
        <w:t>Wdrożenie programu usług społecznych i planu organizowania społeczności lokalnej może także dostarczyć więcej opinii na temat zainteresowania usługami społecznymi na skutek środowiskowych przekazów komunikacyjnych pomiędzy osobami i/lub rodzinami osób korzystających z usług a potencjalnymi zainteresowanymi. Taki naturalny przekaz jest zjawiskiem obserwowanym zwłaszcza w środowiskach wiejskich i ma duże znaczenie dla planowania działań podejmowanych w przestrzeni publicznej, w tym usług społecznych w odpowiedzi na zebrane opinie odbiorców i realizatorów usług CUS może podjąć działania zmierzające do rozszerzenia oferty usług społecznych, przy wykorzystaniu potencjału podmiotów realizujących usługi społeczne na obszarze działania centrum.</w:t>
      </w:r>
      <w:r>
        <w:br w:type="page"/>
      </w:r>
    </w:p>
    <w:p>
      <w:pPr>
        <w:pStyle w:val="Heading1"/>
        <w:numPr>
          <w:ilvl w:val="0"/>
          <w:numId w:val="1"/>
        </w:numPr>
        <w:spacing w:before="0" w:after="80"/>
        <w:rPr>
          <w:color w:val="00204F"/>
          <w:sz w:val="28"/>
          <w:szCs w:val="28"/>
        </w:rPr>
      </w:pPr>
      <w:bookmarkStart w:id="2" w:name="_Toc211356335"/>
      <w:r>
        <w:rPr>
          <w:color w:val="00204F"/>
          <w:sz w:val="28"/>
          <w:szCs w:val="28"/>
        </w:rPr>
        <w:t>Metodologia badań społecznych</w:t>
      </w:r>
      <w:bookmarkEnd w:id="2"/>
      <w:r>
        <w:rPr>
          <w:color w:val="00204F"/>
          <w:sz w:val="28"/>
          <w:szCs w:val="28"/>
        </w:rPr>
        <w:t xml:space="preserve"> </w:t>
      </w:r>
    </w:p>
    <w:p>
      <w:pPr>
        <w:pStyle w:val="Normal"/>
        <w:rPr/>
      </w:pPr>
      <w:r>
        <w:rPr/>
      </w:r>
    </w:p>
    <w:p>
      <w:pPr>
        <w:pStyle w:val="Normal"/>
        <w:spacing w:lineRule="auto" w:line="360"/>
        <w:ind w:firstLine="708"/>
        <w:jc w:val="both"/>
        <w:rPr>
          <w:rFonts w:ascii="Arial" w:hAnsi="Arial" w:cs="Arial"/>
        </w:rPr>
      </w:pPr>
      <w:r>
        <w:rPr>
          <w:rFonts w:cs="Arial" w:ascii="Arial" w:hAnsi="Arial"/>
        </w:rPr>
        <w:t>Warunki, jakie powinna spełniać diagnoza społeczna wskazują między innymi na trafność stawianych hipotez, rzetelny proces gromadzenia danych i opinii oraz użyteczność otrzymanych wyników. Można by przypuszczać, że diagnoza potrzeb i potencjału wspólnoty samorządowej jest typowym badaniem społecznym i nie przysporzy żadnych trudności, ale praktyka pokazuje, że przeprowadzenie pierwszej diagnozy potrzeb i potencjału przed utworzeniem CUS jest zadaniem trudnym i nie gwarantującym pełnego odzwierciedlenia badanej rzeczywistości. Trudności pojawiają się między innymi w:</w:t>
      </w:r>
    </w:p>
    <w:p>
      <w:pPr>
        <w:pStyle w:val="ListParagraph"/>
        <w:numPr>
          <w:ilvl w:val="0"/>
          <w:numId w:val="4"/>
        </w:numPr>
        <w:spacing w:lineRule="auto" w:line="360"/>
        <w:jc w:val="both"/>
        <w:rPr>
          <w:rFonts w:ascii="Arial" w:hAnsi="Arial" w:cs="Arial"/>
        </w:rPr>
      </w:pPr>
      <w:r>
        <w:rPr>
          <w:rFonts w:cs="Arial" w:ascii="Arial" w:hAnsi="Arial"/>
        </w:rPr>
        <w:t>procesach komunikacji z mieszkańcami,</w:t>
      </w:r>
    </w:p>
    <w:p>
      <w:pPr>
        <w:pStyle w:val="ListParagraph"/>
        <w:numPr>
          <w:ilvl w:val="0"/>
          <w:numId w:val="4"/>
        </w:numPr>
        <w:spacing w:lineRule="auto" w:line="360"/>
        <w:jc w:val="both"/>
        <w:rPr>
          <w:rFonts w:ascii="Arial" w:hAnsi="Arial" w:cs="Arial"/>
        </w:rPr>
      </w:pPr>
      <w:r>
        <w:rPr>
          <w:rFonts w:cs="Arial" w:ascii="Arial" w:hAnsi="Arial"/>
        </w:rPr>
        <w:t xml:space="preserve">ograniczeniu dostępu do informacji, </w:t>
      </w:r>
    </w:p>
    <w:p>
      <w:pPr>
        <w:pStyle w:val="ListParagraph"/>
        <w:numPr>
          <w:ilvl w:val="0"/>
          <w:numId w:val="4"/>
        </w:numPr>
        <w:spacing w:lineRule="auto" w:line="360"/>
        <w:jc w:val="both"/>
        <w:rPr>
          <w:rFonts w:ascii="Arial" w:hAnsi="Arial" w:cs="Arial"/>
        </w:rPr>
      </w:pPr>
      <w:r>
        <w:rPr>
          <w:rFonts w:cs="Arial" w:ascii="Arial" w:hAnsi="Arial"/>
        </w:rPr>
        <w:t>wykluczeniu cyfrowym,</w:t>
      </w:r>
    </w:p>
    <w:p>
      <w:pPr>
        <w:pStyle w:val="ListParagraph"/>
        <w:numPr>
          <w:ilvl w:val="0"/>
          <w:numId w:val="4"/>
        </w:numPr>
        <w:spacing w:lineRule="auto" w:line="360"/>
        <w:jc w:val="both"/>
        <w:rPr>
          <w:rFonts w:ascii="Arial" w:hAnsi="Arial" w:cs="Arial"/>
        </w:rPr>
      </w:pPr>
      <w:r>
        <w:rPr>
          <w:rFonts w:cs="Arial" w:ascii="Arial" w:hAnsi="Arial"/>
        </w:rPr>
        <w:t>braku znajomości tematyki usług społecznych wśród mieszkańców, ale też nieprecyzyjnej i niepełnej wiedzy wśród potencjalnych dostawców usług,</w:t>
      </w:r>
    </w:p>
    <w:p>
      <w:pPr>
        <w:pStyle w:val="ListParagraph"/>
        <w:numPr>
          <w:ilvl w:val="0"/>
          <w:numId w:val="4"/>
        </w:numPr>
        <w:spacing w:lineRule="auto" w:line="360"/>
        <w:jc w:val="both"/>
        <w:rPr>
          <w:rFonts w:ascii="Arial" w:hAnsi="Arial" w:cs="Arial"/>
        </w:rPr>
      </w:pPr>
      <w:r>
        <w:rPr>
          <w:rFonts w:cs="Arial" w:ascii="Arial" w:hAnsi="Arial"/>
        </w:rPr>
        <w:t>biernych postawach społecznych prezentowanych przez część mieszkańców.</w:t>
      </w:r>
    </w:p>
    <w:p>
      <w:pPr>
        <w:pStyle w:val="Normal"/>
        <w:spacing w:lineRule="auto" w:line="360"/>
        <w:ind w:firstLine="708"/>
        <w:jc w:val="both"/>
        <w:rPr>
          <w:rFonts w:ascii="Arial" w:hAnsi="Arial" w:cs="Arial"/>
        </w:rPr>
      </w:pPr>
      <w:r>
        <w:rPr>
          <w:rFonts w:cs="Arial" w:ascii="Arial" w:hAnsi="Arial"/>
        </w:rPr>
        <w:t>Mając na uwadze wskazane trudności i ograniczenia skoncentrowano uwagę na spełnieniu podstawowych warunków, mogących ułatwić przygotowanie jak najlepszej jakościowo i użytkowo diagnozy. w tym celu zastosowano wieloaspektowe podejście do procesu diagnostycznego oraz najprostsze, możliwe do zastosowania w lokalnych warunkach metody i techniki badawcze.</w:t>
      </w:r>
    </w:p>
    <w:p>
      <w:pPr>
        <w:pStyle w:val="Normal"/>
        <w:spacing w:lineRule="auto" w:line="360"/>
        <w:ind w:firstLine="708"/>
        <w:jc w:val="both"/>
        <w:rPr>
          <w:rFonts w:ascii="Arial" w:hAnsi="Arial" w:cs="Arial"/>
        </w:rPr>
      </w:pPr>
      <w:r>
        <w:rPr>
          <w:rFonts w:cs="Arial" w:ascii="Arial" w:hAnsi="Arial"/>
        </w:rPr>
        <w:t>W diagnozie zastosowano między innymi podejście wieloaspektowości, zakładając, że diagnoza powinna:</w:t>
      </w:r>
    </w:p>
    <w:p>
      <w:pPr>
        <w:pStyle w:val="ListParagraph"/>
        <w:numPr>
          <w:ilvl w:val="0"/>
          <w:numId w:val="5"/>
        </w:numPr>
        <w:spacing w:lineRule="auto" w:line="360"/>
        <w:jc w:val="both"/>
        <w:rPr>
          <w:rFonts w:ascii="Arial" w:hAnsi="Arial" w:cs="Arial"/>
        </w:rPr>
      </w:pPr>
      <w:r>
        <w:rPr>
          <w:rFonts w:cs="Arial" w:ascii="Arial" w:hAnsi="Arial"/>
        </w:rPr>
        <w:t xml:space="preserve">Uwzględniać różnorodne uwarunkowania i przejawy kondycji społeczności lokalnej, w tym: demograficzne, społeczne, ekonomiczne, gospodarcze, środowiskowe i kulturowe. </w:t>
      </w:r>
    </w:p>
    <w:p>
      <w:pPr>
        <w:pStyle w:val="ListParagraph"/>
        <w:numPr>
          <w:ilvl w:val="0"/>
          <w:numId w:val="5"/>
        </w:numPr>
        <w:spacing w:lineRule="auto" w:line="360"/>
        <w:jc w:val="both"/>
        <w:rPr>
          <w:rFonts w:ascii="Arial" w:hAnsi="Arial" w:cs="Arial"/>
        </w:rPr>
      </w:pPr>
      <w:r>
        <w:rPr>
          <w:rFonts w:cs="Arial" w:ascii="Arial" w:hAnsi="Arial"/>
        </w:rPr>
        <w:t xml:space="preserve">Dostarczać wiedzę zarówno na temat potrzeb społecznych (popyt), jak i zakresu oferowanych usług społecznych (podaż). </w:t>
      </w:r>
    </w:p>
    <w:p>
      <w:pPr>
        <w:pStyle w:val="ListParagraph"/>
        <w:numPr>
          <w:ilvl w:val="0"/>
          <w:numId w:val="5"/>
        </w:numPr>
        <w:spacing w:lineRule="auto" w:line="360"/>
        <w:jc w:val="both"/>
        <w:rPr>
          <w:rFonts w:ascii="Arial" w:hAnsi="Arial" w:cs="Arial"/>
        </w:rPr>
      </w:pPr>
      <w:r>
        <w:rPr>
          <w:rFonts w:cs="Arial" w:ascii="Arial" w:hAnsi="Arial"/>
        </w:rPr>
        <w:t xml:space="preserve">Analizować wzajemne oddziaływanie uwzględnionych aspektów, sfer aktywności czy sektorów życia społecznego, np. związek między kondycją lokalnych podmiotów gospodarczych a realnymi i potencjalnymi problemami społecznymi. </w:t>
      </w:r>
    </w:p>
    <w:p>
      <w:pPr>
        <w:pStyle w:val="Normal"/>
        <w:spacing w:lineRule="auto" w:line="360"/>
        <w:ind w:firstLine="708"/>
        <w:jc w:val="both"/>
        <w:rPr>
          <w:rFonts w:ascii="Arial" w:hAnsi="Arial" w:cs="Arial"/>
        </w:rPr>
      </w:pPr>
      <w:r>
        <w:rPr>
          <w:rFonts w:cs="Arial" w:ascii="Arial" w:hAnsi="Arial"/>
        </w:rPr>
        <w:t>Zastosowano też podejście kompleksowości działań wskazując, że diagnoza powinna uwzględniać szeroki katalog działań usługowych organizowanych przez gminę. Ustawodawca wskazuje 14 obszarów ( art. 2 ust. 1 ustawy 19 lipca 2019 r. o realizowaniu usług społecznych przez centrum usług społecznych)</w:t>
      </w:r>
      <w:r>
        <w:rPr>
          <w:rStyle w:val="FootnoteReference"/>
          <w:rFonts w:cs="Arial" w:ascii="Arial" w:hAnsi="Arial"/>
        </w:rPr>
        <w:footnoteReference w:id="2"/>
      </w:r>
      <w:r>
        <w:rPr>
          <w:rFonts w:cs="Arial" w:ascii="Arial" w:hAnsi="Arial"/>
        </w:rPr>
        <w:t xml:space="preserve">: w tym z zakresu: polityki prorodzinnej,  wspierania rodziny,  systemu pieczy zastępczej,  pomocy społecznej,  promocji i ochrony zdrowia,  wspierania osób niepełnosprawnych,  edukacji publicznej,  przeciwdziałania bezrobociu,  kultury,  kultury fizycznej i turystyki, pobudzania aktywności obywatelskiej, mieszkalnictwa, ochrony środowiska, reintegracji zawodowej i społecznej – podejmowane przez gminę w celu zaspokajania potrzeb wspólnoty samorządowej, świadczone w formie niematerialnej bezpośrednio na rzecz osób, rodzin, grup społecznych, grup mieszkańców o określonych potrzebach lub ogółu mieszkańców. </w:t>
      </w:r>
    </w:p>
    <w:p>
      <w:pPr>
        <w:pStyle w:val="Normal"/>
        <w:spacing w:lineRule="auto" w:line="360"/>
        <w:ind w:firstLine="708"/>
        <w:jc w:val="both"/>
        <w:rPr>
          <w:rFonts w:ascii="Arial" w:hAnsi="Arial" w:cs="Arial"/>
        </w:rPr>
      </w:pPr>
      <w:r>
        <w:rPr>
          <w:rFonts w:cs="Arial" w:ascii="Arial" w:hAnsi="Arial"/>
        </w:rPr>
        <w:t xml:space="preserve">Dla osiągnięcia jak najlepszych rezultatów badawczych zastosowano szerokie podejście w wyborze metod i technik badawczych, zakładając, że diagnoza powinna opisywać obserwowane zjawiska, uwzględniając złożone uwarunkowania i szeroki zakres potrzeb, a tym samym usług. Aby osiągnąć ten stan rzeczy zdecydowano o połączeniu analiz ilościowych z jakościowymi, połączeniu analizy danych zastanych i danych wywoływanych w tym zestawień tabelarycznych i wykresów oraz zastosowaniu zróżnicowanych technik badawczych w zakresie zbierania opinii mieszkańców i ekspertów, w tym wywiadów indywidualnych i wywiadów grupowych. </w:t>
      </w:r>
    </w:p>
    <w:p>
      <w:pPr>
        <w:pStyle w:val="Normal"/>
        <w:spacing w:lineRule="auto" w:line="360"/>
        <w:ind w:firstLine="708"/>
        <w:jc w:val="both"/>
        <w:rPr>
          <w:rFonts w:ascii="Arial" w:hAnsi="Arial" w:cs="Arial"/>
        </w:rPr>
      </w:pPr>
      <w:r>
        <w:rPr>
          <w:rFonts w:cs="Arial" w:ascii="Arial" w:hAnsi="Arial"/>
        </w:rPr>
        <w:t xml:space="preserve">Zastosowano też podejście interdyscyplinarne i partycypacyjne przez włączenie do procesu diagnozy nie tylko lokalnych ekspertów, ale też przedstawicieli odbiorców usług. </w:t>
      </w:r>
    </w:p>
    <w:p>
      <w:pPr>
        <w:pStyle w:val="Normal"/>
        <w:spacing w:lineRule="auto" w:line="360"/>
        <w:ind w:firstLine="708"/>
        <w:jc w:val="both"/>
        <w:rPr>
          <w:rFonts w:ascii="Arial" w:hAnsi="Arial" w:cs="Arial"/>
        </w:rPr>
      </w:pPr>
      <w:r>
        <w:rPr>
          <w:rFonts w:cs="Arial" w:ascii="Arial" w:hAnsi="Arial"/>
        </w:rPr>
        <w:t xml:space="preserve">Diagnoza dotyczy mieszkańców społeczności lokalnej, ich potrzeb, potencjałów, jakości życia, wzajemnych relacji, reguł wspólnego życia i perspektyw rozwojowych. W związku z tym powinna mieć charakter partycypacyjny – to oznacza, że powinna zapewniać uczestnictwo i wpływ społeczności na przebieg i rezultaty procesu. Spełnienie tego warunku zapewniono przez:  </w:t>
      </w:r>
    </w:p>
    <w:p>
      <w:pPr>
        <w:pStyle w:val="ListParagraph"/>
        <w:numPr>
          <w:ilvl w:val="0"/>
          <w:numId w:val="6"/>
        </w:numPr>
        <w:spacing w:lineRule="auto" w:line="360"/>
        <w:jc w:val="both"/>
        <w:rPr>
          <w:rFonts w:ascii="Arial" w:hAnsi="Arial" w:cs="Arial"/>
        </w:rPr>
      </w:pPr>
      <w:r>
        <w:rPr>
          <w:rFonts w:cs="Arial" w:ascii="Arial" w:hAnsi="Arial"/>
        </w:rPr>
        <w:t xml:space="preserve">aktywne i świadome uczestnictwie reprezentantów kadry ośrodka pomocy społecznej, przyszłego centrum usług społecznych i innych przedstawicieli gminy we wszystkich etapach diagnozy (planowanie – badanie – redagowanie raportu); </w:t>
      </w:r>
    </w:p>
    <w:p>
      <w:pPr>
        <w:pStyle w:val="ListParagraph"/>
        <w:numPr>
          <w:ilvl w:val="0"/>
          <w:numId w:val="6"/>
        </w:numPr>
        <w:spacing w:lineRule="auto" w:line="360"/>
        <w:jc w:val="both"/>
        <w:rPr>
          <w:rFonts w:ascii="Arial" w:hAnsi="Arial" w:cs="Arial"/>
        </w:rPr>
      </w:pPr>
      <w:r>
        <w:rPr>
          <w:rFonts w:cs="Arial" w:ascii="Arial" w:hAnsi="Arial"/>
        </w:rPr>
        <w:t xml:space="preserve">zastosowanie metod i technik interdyscyplinarnych oraz interaktywnych, zapewniających uwzględnienie potrzeb, opinii i pomysłów poszczególnych grup mieszkańców;  </w:t>
      </w:r>
    </w:p>
    <w:p>
      <w:pPr>
        <w:pStyle w:val="ListParagraph"/>
        <w:numPr>
          <w:ilvl w:val="0"/>
          <w:numId w:val="6"/>
        </w:numPr>
        <w:spacing w:lineRule="auto" w:line="360"/>
        <w:jc w:val="both"/>
        <w:rPr>
          <w:rFonts w:ascii="Arial" w:hAnsi="Arial" w:cs="Arial"/>
        </w:rPr>
      </w:pPr>
      <w:r>
        <w:rPr>
          <w:rFonts w:cs="Arial" w:ascii="Arial" w:hAnsi="Arial"/>
        </w:rPr>
        <w:t xml:space="preserve">konsultowanie z mieszkańcami zasad przeprowadzenia i treści diagnozy zarówno przed rozpoczęciem badań, jak i po ich zakończeniu;  </w:t>
      </w:r>
    </w:p>
    <w:p>
      <w:pPr>
        <w:pStyle w:val="ListParagraph"/>
        <w:numPr>
          <w:ilvl w:val="0"/>
          <w:numId w:val="6"/>
        </w:numPr>
        <w:spacing w:lineRule="auto" w:line="360"/>
        <w:jc w:val="both"/>
        <w:rPr>
          <w:rFonts w:ascii="Arial" w:hAnsi="Arial" w:cs="Arial"/>
        </w:rPr>
      </w:pPr>
      <w:r>
        <w:rPr>
          <w:rFonts w:cs="Arial" w:ascii="Arial" w:hAnsi="Arial"/>
        </w:rPr>
        <w:t>włączenie niektórych grup mieszkańców do procesu diagnozowania jako współbadaczy (np. seniorzy badający sytuację seniorów).</w:t>
      </w:r>
    </w:p>
    <w:p>
      <w:pPr>
        <w:pStyle w:val="Normal"/>
        <w:spacing w:lineRule="auto" w:line="360"/>
        <w:ind w:firstLine="708"/>
        <w:jc w:val="both"/>
        <w:rPr>
          <w:rFonts w:ascii="Arial" w:hAnsi="Arial" w:cs="Arial"/>
        </w:rPr>
      </w:pPr>
      <w:r>
        <w:rPr>
          <w:rFonts w:cs="Arial" w:ascii="Arial" w:hAnsi="Arial"/>
        </w:rPr>
        <w:t xml:space="preserve">W procesie diagnostycznym założono też spełnienie kryterium praktycznego jej wykorzystania tj. dostarczenie władzom gminy i pracownikom przyszłego CUS informacji o potrzebach mieszkańców w zakresie usług społecznych. Informacje                           te powinny stać się podstawą kreowania lokalnej polityki społecznej, zdolnej do trwałego i kompleksowego rozwiązywania problemów społecznych i tworzenia warunków rozwoju lokalnego. Aby to osiągnąć, diagnoza oprócz szerokiego opisu badanej rzeczywistości:  </w:t>
      </w:r>
    </w:p>
    <w:p>
      <w:pPr>
        <w:pStyle w:val="ListParagraph"/>
        <w:numPr>
          <w:ilvl w:val="0"/>
          <w:numId w:val="7"/>
        </w:numPr>
        <w:spacing w:lineRule="auto" w:line="360"/>
        <w:jc w:val="both"/>
        <w:rPr>
          <w:rFonts w:ascii="Arial" w:hAnsi="Arial" w:cs="Arial"/>
        </w:rPr>
      </w:pPr>
      <w:r>
        <w:rPr>
          <w:rFonts w:cs="Arial" w:ascii="Arial" w:hAnsi="Arial"/>
        </w:rPr>
        <w:t>zawiera analizę bieżącego stanu zaspokajania potrzeb w zakresie usług społecznych,</w:t>
      </w:r>
    </w:p>
    <w:p>
      <w:pPr>
        <w:pStyle w:val="ListParagraph"/>
        <w:numPr>
          <w:ilvl w:val="0"/>
          <w:numId w:val="7"/>
        </w:numPr>
        <w:spacing w:lineRule="auto" w:line="360"/>
        <w:jc w:val="both"/>
        <w:rPr>
          <w:rFonts w:ascii="Arial" w:hAnsi="Arial" w:cs="Arial"/>
        </w:rPr>
      </w:pPr>
      <w:r>
        <w:rPr>
          <w:rFonts w:cs="Arial" w:ascii="Arial" w:hAnsi="Arial"/>
        </w:rPr>
        <w:t xml:space="preserve">zawiera wnioski i rekomendacje wynikające z rozpoznania potrzeb i potencjału wspólnoty samorządowej;  </w:t>
      </w:r>
    </w:p>
    <w:p>
      <w:pPr>
        <w:pStyle w:val="ListParagraph"/>
        <w:numPr>
          <w:ilvl w:val="0"/>
          <w:numId w:val="7"/>
        </w:numPr>
        <w:spacing w:lineRule="auto" w:line="360"/>
        <w:jc w:val="both"/>
        <w:rPr>
          <w:rFonts w:ascii="Arial" w:hAnsi="Arial" w:cs="Arial"/>
        </w:rPr>
      </w:pPr>
      <w:r>
        <w:rPr>
          <w:rFonts w:cs="Arial" w:ascii="Arial" w:hAnsi="Arial"/>
        </w:rPr>
        <w:t xml:space="preserve">wskazuje podmioty potencjalnie przygotowane do organizowania i zapewnienia usług społecznych, mogące podjąć aktywność i odpowiedzialność za realizację poszczególnych zadań; </w:t>
      </w:r>
    </w:p>
    <w:p>
      <w:pPr>
        <w:pStyle w:val="ListParagraph"/>
        <w:numPr>
          <w:ilvl w:val="0"/>
          <w:numId w:val="7"/>
        </w:numPr>
        <w:spacing w:lineRule="auto" w:line="360"/>
        <w:jc w:val="both"/>
        <w:rPr>
          <w:rFonts w:ascii="Arial" w:hAnsi="Arial" w:cs="Arial"/>
        </w:rPr>
      </w:pPr>
      <w:r>
        <w:rPr>
          <w:rFonts w:cs="Arial" w:ascii="Arial" w:hAnsi="Arial"/>
        </w:rPr>
        <w:t>może być uzupełniana i korygowana w sytuacji zmian wymagających interwencji.</w:t>
      </w:r>
    </w:p>
    <w:p>
      <w:pPr>
        <w:pStyle w:val="Normal"/>
        <w:spacing w:lineRule="auto" w:line="360"/>
        <w:ind w:firstLine="708"/>
        <w:jc w:val="both"/>
        <w:rPr>
          <w:rFonts w:ascii="Arial" w:hAnsi="Arial" w:cs="Arial"/>
        </w:rPr>
      </w:pPr>
      <w:r>
        <w:rPr>
          <w:rFonts w:cs="Arial" w:ascii="Arial" w:hAnsi="Arial"/>
        </w:rPr>
        <w:t>Szczegółowy zakres metodologii do opracowania niniejszej diagnozy został określony w dokumentacji projektowej projektu „Centrum Usług Społecznych w Gminie Bychawa, dofinansowanego ze środków Unii Europejskiej w ramach Działania 8.5 Usługi Społeczne, Priorytetu VIII Zwiększenie spójności</w:t>
      </w:r>
      <w:r>
        <w:rPr>
          <w:rFonts w:cs="Arial" w:ascii="Arial" w:hAnsi="Arial"/>
          <w:b/>
          <w:bCs/>
        </w:rPr>
        <w:t xml:space="preserve"> </w:t>
      </w:r>
      <w:r>
        <w:rPr>
          <w:rFonts w:cs="Arial" w:ascii="Arial" w:hAnsi="Arial"/>
        </w:rPr>
        <w:t xml:space="preserve">społecznej Programu Fundusze Europejskie dla Lubelskiego na lata 2021–2027”, a konkretnie w „Opisie przedmiotu zamówienia - zadanie nr 2”. Opis ten wskazuje, że ”Proces przeprowadzenia lokalnej diagnozy potrzeb i potencjału wspólnoty samorządowej </w:t>
        <w:br/>
        <w:t>w zakresie usług społecznych zawiera następujące elementy:</w:t>
      </w:r>
    </w:p>
    <w:p>
      <w:pPr>
        <w:pStyle w:val="ListParagraph"/>
        <w:numPr>
          <w:ilvl w:val="0"/>
          <w:numId w:val="8"/>
        </w:numPr>
        <w:spacing w:lineRule="auto" w:line="360"/>
        <w:jc w:val="both"/>
        <w:rPr>
          <w:rFonts w:ascii="Arial" w:hAnsi="Arial" w:cs="Arial"/>
        </w:rPr>
      </w:pPr>
      <w:r>
        <w:rPr>
          <w:rFonts w:cs="Arial" w:ascii="Arial" w:hAnsi="Arial"/>
        </w:rPr>
        <w:t>prace przygotowawcze i konceptualizację;</w:t>
      </w:r>
    </w:p>
    <w:p>
      <w:pPr>
        <w:pStyle w:val="ListParagraph"/>
        <w:numPr>
          <w:ilvl w:val="0"/>
          <w:numId w:val="8"/>
        </w:numPr>
        <w:spacing w:lineRule="auto" w:line="360"/>
        <w:jc w:val="both"/>
        <w:rPr>
          <w:rFonts w:ascii="Arial" w:hAnsi="Arial" w:cs="Arial"/>
        </w:rPr>
      </w:pPr>
      <w:r>
        <w:rPr>
          <w:rFonts w:cs="Arial" w:ascii="Arial" w:hAnsi="Arial"/>
        </w:rPr>
        <w:t>opracowanie narzędzi badawczych, kwestionariuszy ankiety, arkuszy wywiadu indywidulanego i grupowego oraz arkuszy obserwacji;</w:t>
      </w:r>
    </w:p>
    <w:p>
      <w:pPr>
        <w:pStyle w:val="ListParagraph"/>
        <w:numPr>
          <w:ilvl w:val="0"/>
          <w:numId w:val="8"/>
        </w:numPr>
        <w:spacing w:lineRule="auto" w:line="360"/>
        <w:jc w:val="both"/>
        <w:rPr>
          <w:rFonts w:ascii="Arial" w:hAnsi="Arial" w:cs="Arial"/>
        </w:rPr>
      </w:pPr>
      <w:r>
        <w:rPr>
          <w:rFonts w:cs="Arial" w:ascii="Arial" w:hAnsi="Arial"/>
        </w:rPr>
        <w:t>dobór próby;</w:t>
      </w:r>
    </w:p>
    <w:p>
      <w:pPr>
        <w:pStyle w:val="ListParagraph"/>
        <w:numPr>
          <w:ilvl w:val="0"/>
          <w:numId w:val="8"/>
        </w:numPr>
        <w:spacing w:lineRule="auto" w:line="360"/>
        <w:jc w:val="both"/>
        <w:rPr>
          <w:rFonts w:ascii="Arial" w:hAnsi="Arial" w:cs="Arial"/>
        </w:rPr>
      </w:pPr>
      <w:r>
        <w:rPr>
          <w:rFonts w:cs="Arial" w:ascii="Arial" w:hAnsi="Arial"/>
        </w:rPr>
        <w:t>rekrutację respondentów,</w:t>
      </w:r>
    </w:p>
    <w:p>
      <w:pPr>
        <w:pStyle w:val="ListParagraph"/>
        <w:numPr>
          <w:ilvl w:val="0"/>
          <w:numId w:val="8"/>
        </w:numPr>
        <w:spacing w:lineRule="auto" w:line="360"/>
        <w:jc w:val="both"/>
        <w:rPr>
          <w:rFonts w:ascii="Arial" w:hAnsi="Arial" w:cs="Arial"/>
        </w:rPr>
      </w:pPr>
      <w:r>
        <w:rPr>
          <w:rFonts w:cs="Arial" w:ascii="Arial" w:hAnsi="Arial"/>
        </w:rPr>
        <w:t>realizację i koordynację badań;</w:t>
      </w:r>
    </w:p>
    <w:p>
      <w:pPr>
        <w:pStyle w:val="ListParagraph"/>
        <w:numPr>
          <w:ilvl w:val="0"/>
          <w:numId w:val="8"/>
        </w:numPr>
        <w:spacing w:lineRule="auto" w:line="360"/>
        <w:jc w:val="both"/>
        <w:rPr>
          <w:rFonts w:ascii="Arial" w:hAnsi="Arial" w:cs="Arial"/>
        </w:rPr>
      </w:pPr>
      <w:r>
        <w:rPr>
          <w:rFonts w:cs="Arial" w:ascii="Arial" w:hAnsi="Arial"/>
        </w:rPr>
        <w:t>przygotowanie zbioru (bazy danych);</w:t>
      </w:r>
    </w:p>
    <w:p>
      <w:pPr>
        <w:pStyle w:val="ListParagraph"/>
        <w:numPr>
          <w:ilvl w:val="0"/>
          <w:numId w:val="8"/>
        </w:numPr>
        <w:spacing w:lineRule="auto" w:line="360"/>
        <w:jc w:val="both"/>
        <w:rPr>
          <w:rFonts w:ascii="Arial" w:hAnsi="Arial" w:cs="Arial"/>
        </w:rPr>
      </w:pPr>
      <w:r>
        <w:rPr>
          <w:rFonts w:cs="Arial" w:ascii="Arial" w:hAnsi="Arial"/>
        </w:rPr>
        <w:t>kompleksową analizę statystyczną wyników badań na podstawie w/w narzędzi wraz z opisaniem wyników badań;</w:t>
      </w:r>
    </w:p>
    <w:p>
      <w:pPr>
        <w:pStyle w:val="ListParagraph"/>
        <w:numPr>
          <w:ilvl w:val="0"/>
          <w:numId w:val="8"/>
        </w:numPr>
        <w:spacing w:lineRule="auto" w:line="360"/>
        <w:jc w:val="both"/>
        <w:rPr>
          <w:rFonts w:ascii="Arial" w:hAnsi="Arial" w:cs="Arial"/>
        </w:rPr>
      </w:pPr>
      <w:r>
        <w:rPr>
          <w:rFonts w:cs="Arial" w:ascii="Arial" w:hAnsi="Arial"/>
        </w:rPr>
        <w:t>metody i techniki badawcze obejmują; analizę danych zastanych (desk research); dane statystyczne, dokumenty strategiczne i programowe, dostępne analizy i raporty z badań;</w:t>
      </w:r>
    </w:p>
    <w:p>
      <w:pPr>
        <w:pStyle w:val="ListParagraph"/>
        <w:numPr>
          <w:ilvl w:val="0"/>
          <w:numId w:val="8"/>
        </w:numPr>
        <w:spacing w:lineRule="auto" w:line="360"/>
        <w:jc w:val="both"/>
        <w:rPr>
          <w:rFonts w:ascii="Arial" w:hAnsi="Arial" w:cs="Arial"/>
        </w:rPr>
      </w:pPr>
      <w:bookmarkStart w:id="3" w:name="_Hlk210901913"/>
      <w:r>
        <w:rPr>
          <w:rFonts w:cs="Arial" w:ascii="Arial" w:hAnsi="Arial"/>
        </w:rPr>
        <w:t>badanie ilościowe na losowo-kwotowej próbie mieszkańców; mix metodologiczny CAWI/CATI/PAPI;</w:t>
      </w:r>
      <w:bookmarkEnd w:id="3"/>
    </w:p>
    <w:p>
      <w:pPr>
        <w:pStyle w:val="ListParagraph"/>
        <w:numPr>
          <w:ilvl w:val="0"/>
          <w:numId w:val="8"/>
        </w:numPr>
        <w:spacing w:lineRule="auto" w:line="360"/>
        <w:jc w:val="both"/>
        <w:rPr>
          <w:rFonts w:ascii="Arial" w:hAnsi="Arial" w:cs="Arial"/>
        </w:rPr>
      </w:pPr>
      <w:r>
        <w:rPr>
          <w:rFonts w:cs="Arial" w:ascii="Arial" w:hAnsi="Arial"/>
        </w:rPr>
        <w:t>badanie jakościowe; zogniskowane wywiady grupowe (FGI) z kluczowymi interesariuszami usług społecznych;</w:t>
      </w:r>
    </w:p>
    <w:p>
      <w:pPr>
        <w:pStyle w:val="ListParagraph"/>
        <w:numPr>
          <w:ilvl w:val="0"/>
          <w:numId w:val="8"/>
        </w:numPr>
        <w:spacing w:lineRule="auto" w:line="360"/>
        <w:jc w:val="both"/>
        <w:rPr>
          <w:rFonts w:ascii="Arial" w:hAnsi="Arial" w:cs="Arial"/>
        </w:rPr>
      </w:pPr>
      <w:r>
        <w:rPr>
          <w:rFonts w:cs="Arial" w:ascii="Arial" w:hAnsi="Arial"/>
        </w:rPr>
        <w:t>badanie jakościowe „Warsztaty Servise Desing” (społeczne projektowanie usług) z przedstawicielami kluczowych grup odbiorców usług społecznych zaplanowano 2 warsztaty stacjonarne w wymiarze 3h (60 minut) jeden warsztat w miejscu wskazanym przez Zamawiającego;</w:t>
      </w:r>
    </w:p>
    <w:p>
      <w:pPr>
        <w:pStyle w:val="ListParagraph"/>
        <w:numPr>
          <w:ilvl w:val="0"/>
          <w:numId w:val="8"/>
        </w:numPr>
        <w:spacing w:lineRule="auto" w:line="360"/>
        <w:jc w:val="both"/>
        <w:rPr>
          <w:rFonts w:ascii="Arial" w:hAnsi="Arial" w:cs="Arial"/>
        </w:rPr>
      </w:pPr>
      <w:r>
        <w:rPr>
          <w:rFonts w:cs="Arial" w:ascii="Arial" w:hAnsi="Arial"/>
        </w:rPr>
        <w:t xml:space="preserve">badanie jakościowe; Indywidualne Wywiady Pogłębione;” </w:t>
      </w:r>
      <w:r>
        <w:rPr>
          <w:rStyle w:val="FootnoteReference"/>
          <w:rFonts w:cs="Arial" w:ascii="Arial" w:hAnsi="Arial"/>
        </w:rPr>
        <w:footnoteReference w:id="3"/>
      </w:r>
    </w:p>
    <w:p>
      <w:pPr>
        <w:pStyle w:val="Normal"/>
        <w:spacing w:lineRule="auto" w:line="360"/>
        <w:ind w:firstLine="708"/>
        <w:jc w:val="both"/>
        <w:rPr>
          <w:rFonts w:ascii="Arial" w:hAnsi="Arial" w:cs="Arial"/>
        </w:rPr>
      </w:pPr>
      <w:r>
        <w:rPr>
          <w:rFonts w:cs="Arial" w:ascii="Arial" w:hAnsi="Arial"/>
        </w:rPr>
        <w:t>Wskazane wyżej elementy stanowią pewien zbiór wymagań formalnych w zakresie opracowania diagnozy, co jednocześnie jest wskazówką do praktycznego jej opracowania.</w:t>
      </w:r>
    </w:p>
    <w:p>
      <w:pPr>
        <w:pStyle w:val="Normal"/>
        <w:spacing w:lineRule="auto" w:line="360"/>
        <w:ind w:firstLine="708"/>
        <w:jc w:val="both"/>
        <w:rPr>
          <w:rFonts w:ascii="Arial" w:hAnsi="Arial" w:cs="Arial"/>
        </w:rPr>
      </w:pPr>
      <w:r>
        <w:rPr>
          <w:rFonts w:cs="Arial" w:ascii="Arial" w:hAnsi="Arial"/>
        </w:rPr>
        <w:t xml:space="preserve">Wypełniając wskazane wcześniej zobowiązania projektowe w pierwszym etapie wykonano prace przygotowawcze i konceptualizację </w:t>
      </w:r>
      <w:r>
        <w:rPr>
          <w:rStyle w:val="FootnoteReference"/>
          <w:rFonts w:cs="Arial" w:ascii="Arial" w:hAnsi="Arial"/>
        </w:rPr>
        <w:footnoteReference w:id="4"/>
      </w:r>
      <w:r>
        <w:rPr>
          <w:rFonts w:cs="Arial" w:ascii="Arial" w:hAnsi="Arial"/>
        </w:rPr>
        <w:t xml:space="preserve"> procesu diagnozy tj. ustalono, że:</w:t>
      </w:r>
    </w:p>
    <w:p>
      <w:pPr>
        <w:pStyle w:val="ListParagraph"/>
        <w:numPr>
          <w:ilvl w:val="0"/>
          <w:numId w:val="9"/>
        </w:numPr>
        <w:spacing w:lineRule="auto" w:line="360"/>
        <w:jc w:val="both"/>
        <w:rPr>
          <w:rFonts w:ascii="Arial" w:hAnsi="Arial" w:cs="Arial"/>
        </w:rPr>
      </w:pPr>
      <w:r>
        <w:rPr>
          <w:rFonts w:cs="Arial" w:ascii="Arial" w:hAnsi="Arial"/>
        </w:rPr>
        <w:t xml:space="preserve">pod pojęciem usługi społecznej rozumie się „wszelkie czynności o charakterze świadczeń niefinansowych na rzecz innych osób fizycznych lub prawnych, przyczyniające się do zaspokojenia indywidulanych lub zbiorowych potrzeb w inny sposób niż przez transfer własności dobra materialnego; czynności te nie wiążą się z bezpośrednim wytwarzaniem produktów”, </w:t>
      </w:r>
      <w:r>
        <w:rPr>
          <w:rStyle w:val="FootnoteReference"/>
          <w:rFonts w:cs="Arial" w:ascii="Arial" w:hAnsi="Arial"/>
        </w:rPr>
        <w:footnoteReference w:id="5"/>
      </w:r>
    </w:p>
    <w:p>
      <w:pPr>
        <w:pStyle w:val="ListParagraph"/>
        <w:numPr>
          <w:ilvl w:val="0"/>
          <w:numId w:val="9"/>
        </w:numPr>
        <w:spacing w:lineRule="auto" w:line="360"/>
        <w:jc w:val="both"/>
        <w:rPr>
          <w:rFonts w:ascii="Arial" w:hAnsi="Arial" w:cs="Arial"/>
        </w:rPr>
      </w:pPr>
      <w:r>
        <w:rPr>
          <w:rFonts w:cs="Arial" w:ascii="Arial" w:hAnsi="Arial"/>
        </w:rPr>
        <w:t>badania będą prowadzone na obszarze Gminy Bychawa i obejmą mieszkańców, którzy dobrowolnie wyrażą zgodę na udział w badaniach,</w:t>
      </w:r>
    </w:p>
    <w:p>
      <w:pPr>
        <w:pStyle w:val="ListParagraph"/>
        <w:numPr>
          <w:ilvl w:val="0"/>
          <w:numId w:val="9"/>
        </w:numPr>
        <w:spacing w:lineRule="auto" w:line="360"/>
        <w:jc w:val="both"/>
        <w:rPr>
          <w:rFonts w:ascii="Arial" w:hAnsi="Arial" w:cs="Arial"/>
        </w:rPr>
      </w:pPr>
      <w:r>
        <w:rPr>
          <w:rFonts w:cs="Arial" w:ascii="Arial" w:hAnsi="Arial"/>
        </w:rPr>
        <w:t xml:space="preserve">zakres przedmiotowy badań obejmie opis dostępnych obecnie usług społecznych oraz ich zapotrzebowanie na przyszłość, </w:t>
      </w:r>
    </w:p>
    <w:p>
      <w:pPr>
        <w:pStyle w:val="ListParagraph"/>
        <w:numPr>
          <w:ilvl w:val="0"/>
          <w:numId w:val="9"/>
        </w:numPr>
        <w:spacing w:lineRule="auto" w:line="360"/>
        <w:jc w:val="both"/>
        <w:rPr>
          <w:rFonts w:ascii="Arial" w:hAnsi="Arial" w:cs="Arial"/>
        </w:rPr>
      </w:pPr>
      <w:r>
        <w:rPr>
          <w:rFonts w:cs="Arial" w:ascii="Arial" w:hAnsi="Arial"/>
        </w:rPr>
        <w:t>zastosowane zostaną różne kanały komunikacyjne dla zapewnienia najlepszych warunków do uzyskania kontaktu z mieszkańcami oraz jak najszerszej informacji o zapotrzebowaniu na usługi społeczne,</w:t>
      </w:r>
    </w:p>
    <w:p>
      <w:pPr>
        <w:pStyle w:val="ListParagraph"/>
        <w:numPr>
          <w:ilvl w:val="0"/>
          <w:numId w:val="9"/>
        </w:numPr>
        <w:spacing w:lineRule="auto" w:line="360"/>
        <w:jc w:val="both"/>
        <w:rPr>
          <w:rFonts w:ascii="Arial" w:hAnsi="Arial" w:cs="Arial"/>
        </w:rPr>
      </w:pPr>
      <w:r>
        <w:rPr>
          <w:rFonts w:cs="Arial" w:ascii="Arial" w:hAnsi="Arial"/>
        </w:rPr>
        <w:t xml:space="preserve">oprócz metod i technik badawczych określonych w opisie zamówienia zostaną wykorzystane wszystkie informacje mające wpływ na jakość diagnozy.  </w:t>
      </w:r>
    </w:p>
    <w:p>
      <w:pPr>
        <w:pStyle w:val="Normal"/>
        <w:spacing w:lineRule="auto" w:line="360"/>
        <w:ind w:firstLine="708"/>
        <w:jc w:val="both"/>
        <w:rPr>
          <w:rFonts w:ascii="Arial" w:hAnsi="Arial" w:cs="Arial"/>
        </w:rPr>
      </w:pPr>
      <w:r>
        <w:rPr>
          <w:rFonts w:cs="Arial" w:ascii="Arial" w:hAnsi="Arial"/>
        </w:rPr>
        <w:t xml:space="preserve">W kolejnym etapie opracowano propozycję narzędzi badawczych </w:t>
        <w:br/>
        <w:t xml:space="preserve">tj: kwestionariusz ankiety, której treść stanowi załącznik nr 1 do niniejszego opracowania, arkuszy wywiadu indywidulanego, którego treść stanowi załącznik nr 2 do niniejszego opracowania, arkusz wywiadu grupowego, którego treść stanowi załącznik nr 3 do niniejszego opracowania oraz arkuszy obserwacji, którego wzór stanowi załącznik nr 4 do niniejszego opracowania. </w:t>
      </w:r>
    </w:p>
    <w:p>
      <w:pPr>
        <w:pStyle w:val="Normal"/>
        <w:spacing w:lineRule="auto" w:line="360" w:beforeAutospacing="1" w:afterAutospacing="1"/>
        <w:ind w:firstLine="708"/>
        <w:jc w:val="both"/>
        <w:rPr>
          <w:rFonts w:ascii="Arial" w:hAnsi="Arial" w:eastAsia="Times New Roman" w:cs="Arial"/>
          <w:kern w:val="0"/>
          <w:lang w:eastAsia="pl-PL"/>
          <w14:ligatures w14:val="none"/>
        </w:rPr>
      </w:pPr>
      <w:r>
        <w:rPr>
          <w:rFonts w:cs="Arial" w:ascii="Arial" w:hAnsi="Arial"/>
        </w:rPr>
        <w:t>Propozycje narzędzi badawczych przekazano do akceptacji osobom koordynującym wdrażanie projektu oraz prac badawczych. Po uzyskaniu akceptacji podjęto realizację doboru próby badanej społeczności. w tym obszarze zastosowano</w:t>
      </w:r>
      <w:r>
        <w:rPr>
          <w:rFonts w:eastAsia="Times New Roman" w:cs="Arial" w:ascii="Arial" w:hAnsi="Arial"/>
          <w:kern w:val="0"/>
          <w:lang w:eastAsia="pl-PL"/>
          <w14:ligatures w14:val="none"/>
        </w:rPr>
        <w:t xml:space="preserve"> metodę doboru nielosowego (nieprobabilistyczną). W tej metodzie wybór jednostek badanych zależy od subiektywnej decyzji badacza, która uzasadniona była założeniem o słabej ogólnej orientacji przeciętnego mieszkańca na temat obszaru usług społecznych. Zastosowano między innymi „dobór celowy” (arbitralny), w ramach którego badacz na podstawie swojej wiedzy i doświadczenia sam wybiera jednostki, które jego zdaniem najlepiej odwzorowują populację. Do badania wybrano Ośrodek Pomocy Społecznej w Bychawie jako jednostkę realizującą obecnie usługi społeczne opiekuńcze, specjalistyczne i asystenckie.</w:t>
      </w:r>
    </w:p>
    <w:p>
      <w:pPr>
        <w:pStyle w:val="Normal"/>
        <w:spacing w:lineRule="auto" w:line="360" w:beforeAutospacing="1" w:afterAutospacing="1"/>
        <w:ind w:firstLine="708"/>
        <w:jc w:val="both"/>
        <w:rPr>
          <w:rFonts w:ascii="Arial" w:hAnsi="Arial" w:eastAsia="Times New Roman" w:cs="Arial"/>
          <w:kern w:val="0"/>
          <w:lang w:eastAsia="pl-PL"/>
          <w14:ligatures w14:val="none"/>
        </w:rPr>
      </w:pPr>
      <w:bookmarkStart w:id="4" w:name="_Hlk211245213"/>
      <w:r>
        <w:rPr>
          <w:rFonts w:eastAsia="Times New Roman" w:cs="Arial" w:ascii="Arial" w:hAnsi="Arial"/>
          <w:kern w:val="0"/>
          <w:lang w:eastAsia="pl-PL"/>
          <w14:ligatures w14:val="none"/>
        </w:rPr>
        <w:t xml:space="preserve">Do badań w zakresie uzyskania opinii na temat potrzeb na usługi społeczne dokonano „wyboru kwotowego próby”. Próbę dobrano tak, aby jej struktura (np. płeć, wiek) była zgodna z proporcjami w populacji, ale wybór osób odbył się na zasadzie decyzji badacza, a nie losowej. Założono, że próbę badawczą stanowić będzie minimum 200 mieszkańców, co stanowi odniesienie do ogólnych wymogów projektowych, wskazujących na konieczność przebadania </w:t>
      </w:r>
      <w:r>
        <w:rPr>
          <w:rFonts w:cs="Arial" w:ascii="Arial" w:hAnsi="Arial"/>
        </w:rPr>
        <w:t>badaniem ankietowym</w:t>
      </w:r>
      <w:r>
        <w:rPr>
          <w:rStyle w:val="FootnoteReference"/>
          <w:rFonts w:cs="Arial" w:ascii="Arial" w:hAnsi="Arial"/>
          <w:b/>
          <w:bCs/>
        </w:rPr>
        <w:footnoteReference w:id="6"/>
      </w:r>
      <w:r>
        <w:rPr/>
        <w:t xml:space="preserve"> </w:t>
      </w:r>
      <w:r>
        <w:rPr>
          <w:rFonts w:eastAsia="Times New Roman" w:cs="Arial" w:ascii="Arial" w:hAnsi="Arial"/>
          <w:kern w:val="0"/>
          <w:lang w:eastAsia="pl-PL"/>
          <w14:ligatures w14:val="none"/>
        </w:rPr>
        <w:t xml:space="preserve">200 osób, będących mieszkańcami Gminy Bychawa. Proces </w:t>
      </w:r>
      <w:r>
        <w:rPr>
          <w:rFonts w:cs="Arial" w:ascii="Arial" w:hAnsi="Arial"/>
        </w:rPr>
        <w:t xml:space="preserve">rekrutacji respondentów przeprowadzono z udziałem pracowników samorządowych Urzędu Miejskiego w Bychawie, pracowników Ośrodka Pomocy Społecznej, Szkół, Żłobka, Środowiskowego Domu Samopomocy, Biblioteki Publicznej oraz </w:t>
      </w:r>
      <w:bookmarkEnd w:id="4"/>
      <w:r>
        <w:rPr>
          <w:rFonts w:cs="Arial" w:ascii="Arial" w:hAnsi="Arial"/>
        </w:rPr>
        <w:t>Bychawskiego Centrum Kultury.</w:t>
      </w:r>
      <w:r>
        <w:rPr>
          <w:rFonts w:eastAsia="Times New Roman" w:cs="Times New Roman" w:ascii="Times New Roman" w:hAnsi="Times New Roman"/>
          <w:kern w:val="0"/>
          <w:lang w:eastAsia="pl-PL"/>
          <w14:ligatures w14:val="none"/>
        </w:rPr>
        <w:t xml:space="preserve"> </w:t>
      </w:r>
      <w:r>
        <w:rPr>
          <w:rFonts w:eastAsia="Times New Roman" w:cs="Arial" w:ascii="Arial" w:hAnsi="Arial"/>
          <w:kern w:val="0"/>
          <w:lang w:eastAsia="pl-PL"/>
          <w14:ligatures w14:val="none"/>
        </w:rPr>
        <w:t>Na badania zaplanowano ok. 30 dni roboczych.</w:t>
      </w:r>
    </w:p>
    <w:p>
      <w:pPr>
        <w:pStyle w:val="Normal"/>
        <w:spacing w:lineRule="auto" w:line="360" w:beforeAutospacing="1" w:afterAutospacing="1"/>
        <w:ind w:firstLine="708"/>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wyniku badań opracowano także bazę danych o podmiotach realizujących usługi społeczne dla mieszkańców Gminy Bychawa oraz wstępny katalog usług wskazywanych jako pilne i ważne potrzeby społeczności lokalnej. Informacje zawarte w bazie wskazują nazwę podmiotu dostarczającego usługi, dane kontaktowe, nazwę usługi oraz jej zakres merytoryczny. Baza nie zawiera kosztów usługi oraz warunków dostępności do usług, ponieważ te mogą zostać znacząco zmienione w procesie wdrażania gminnego programu usług społecznych realizowanego przez nowotworzony CUS.</w:t>
      </w:r>
    </w:p>
    <w:p>
      <w:pPr>
        <w:pStyle w:val="Normal"/>
        <w:spacing w:lineRule="auto" w:line="360" w:beforeAutospacing="1" w:afterAutospacing="1"/>
        <w:ind w:firstLine="708"/>
        <w:jc w:val="both"/>
        <w:rPr>
          <w:rFonts w:ascii="Arial" w:hAnsi="Arial" w:cs="Arial"/>
        </w:rPr>
      </w:pPr>
      <w:r>
        <w:rPr>
          <w:rFonts w:eastAsia="Times New Roman" w:cs="Arial" w:ascii="Arial" w:hAnsi="Arial"/>
          <w:kern w:val="0"/>
          <w:lang w:eastAsia="pl-PL"/>
          <w14:ligatures w14:val="none"/>
        </w:rPr>
        <w:t>W procesie k</w:t>
      </w:r>
      <w:r>
        <w:rPr>
          <w:rFonts w:cs="Arial" w:ascii="Arial" w:hAnsi="Arial"/>
        </w:rPr>
        <w:t>ompleksowej analizy statystycznej sytuacji gminy Bychawa wykorzystano dane Banku Danych Lokalnych dla Gminy Bychawa oraz metodę desk research „sprawozdań MRPiPS 03” tj. Sprawozdań rocznych z udzielonych świadczeń pomocy społecznej - pieniężnych, w naturze i usługach”, Ocenę zasobów pomocy społecznej,  realizowanych w Gminie Bychawa przez Ośrodek Pomocy Społecznej na przestrzeni lat 2000-2024.</w:t>
      </w:r>
    </w:p>
    <w:p>
      <w:pPr>
        <w:pStyle w:val="Normal"/>
        <w:spacing w:lineRule="auto" w:line="360" w:beforeAutospacing="1" w:afterAutospacing="1"/>
        <w:ind w:firstLine="708"/>
        <w:jc w:val="both"/>
        <w:rPr>
          <w:rFonts w:ascii="Arial" w:hAnsi="Arial" w:cs="Arial"/>
        </w:rPr>
      </w:pPr>
      <w:r>
        <w:rPr>
          <w:rFonts w:cs="Arial" w:ascii="Arial" w:hAnsi="Arial"/>
        </w:rPr>
        <w:t>W ramach metody desk research analizie poddano też strategię rozwiązywania problemów społecznych, lokalny plany deinstytucjonalizacji usług społecznych programy wsparcia dedykowane rodzinie, osobom doznającym przemocy domowej oraz osobom dotkniętym problem uzależnień od alkoholu, narkotyków i substancji psychoaktywnych w celu identyfikacji obszarów problemowych generujących usługi społeczne.</w:t>
      </w:r>
    </w:p>
    <w:p>
      <w:pPr>
        <w:pStyle w:val="Normal"/>
        <w:spacing w:lineRule="auto" w:line="360" w:beforeAutospacing="1" w:afterAutospacing="1"/>
        <w:ind w:firstLine="708"/>
        <w:jc w:val="both"/>
        <w:rPr>
          <w:rFonts w:ascii="Arial" w:hAnsi="Arial" w:cs="Arial"/>
        </w:rPr>
      </w:pPr>
      <w:r>
        <w:rPr>
          <w:rFonts w:cs="Arial" w:ascii="Arial" w:hAnsi="Arial"/>
        </w:rPr>
        <w:t>Badanie ilościowe mieszkańców wykonano przy zastosowaniu wystandaryzowanej ankiety</w:t>
      </w:r>
      <w:r>
        <w:rPr>
          <w:rStyle w:val="FootnoteReference"/>
          <w:rFonts w:cs="Arial" w:ascii="Arial" w:hAnsi="Arial"/>
        </w:rPr>
        <w:footnoteReference w:id="7"/>
      </w:r>
      <w:r>
        <w:rPr>
          <w:rFonts w:cs="Arial" w:ascii="Arial" w:hAnsi="Arial"/>
        </w:rPr>
        <w:t xml:space="preserve"> udostępnionej technikami:</w:t>
      </w:r>
    </w:p>
    <w:p>
      <w:pPr>
        <w:pStyle w:val="FootnoteText"/>
        <w:numPr>
          <w:ilvl w:val="0"/>
          <w:numId w:val="10"/>
        </w:numPr>
        <w:spacing w:lineRule="auto" w:line="360"/>
        <w:jc w:val="both"/>
        <w:rPr>
          <w:rFonts w:ascii="Arial" w:hAnsi="Arial" w:cs="Arial"/>
          <w:sz w:val="24"/>
          <w:szCs w:val="24"/>
        </w:rPr>
      </w:pPr>
      <w:r>
        <w:rPr>
          <w:rFonts w:cs="Arial" w:ascii="Arial" w:hAnsi="Arial"/>
          <w:sz w:val="24"/>
          <w:szCs w:val="24"/>
          <w:lang w:val="en-US"/>
        </w:rPr>
        <w:t xml:space="preserve">CAWI/CATI - </w:t>
      </w:r>
      <w:r>
        <w:rPr>
          <w:rStyle w:val="Strong"/>
          <w:rFonts w:cs="Arial" w:ascii="Arial" w:hAnsi="Arial"/>
          <w:b w:val="false"/>
          <w:bCs w:val="false"/>
          <w:sz w:val="24"/>
          <w:szCs w:val="24"/>
          <w:lang w:val="en-US"/>
        </w:rPr>
        <w:t>czyli</w:t>
      </w:r>
      <w:r>
        <w:rPr>
          <w:rStyle w:val="Strong"/>
          <w:rFonts w:cs="Arial" w:ascii="Arial" w:hAnsi="Arial"/>
          <w:sz w:val="24"/>
          <w:szCs w:val="24"/>
          <w:lang w:val="en-US"/>
        </w:rPr>
        <w:t xml:space="preserve"> </w:t>
      </w:r>
      <w:r>
        <w:rPr>
          <w:rFonts w:cs="Arial" w:ascii="Arial" w:hAnsi="Arial"/>
          <w:sz w:val="24"/>
          <w:szCs w:val="24"/>
          <w:lang w:val="en-US"/>
        </w:rPr>
        <w:t xml:space="preserve">Computer Assisted Web Interview. </w:t>
      </w:r>
      <w:r>
        <w:rPr>
          <w:rFonts w:cs="Arial" w:ascii="Arial" w:hAnsi="Arial"/>
          <w:sz w:val="24"/>
          <w:szCs w:val="24"/>
        </w:rPr>
        <w:t xml:space="preserve">Jest to metoda przeprowadzania badanie online, która umożliwia szybkie i efektywne zbieranie danych od respondentów. Dzięki technologii komputerowej, ankiety CAWI umożliwiają personalizację pytań i odpowiedzi, co zwiększa dokładność i wiarygodność wyników. </w:t>
      </w:r>
    </w:p>
    <w:p>
      <w:pPr>
        <w:pStyle w:val="Normal"/>
        <w:numPr>
          <w:ilvl w:val="0"/>
          <w:numId w:val="10"/>
        </w:numPr>
        <w:spacing w:lineRule="auto" w:line="360" w:before="0" w:afterAutospacing="1"/>
        <w:jc w:val="both"/>
        <w:rPr>
          <w:rFonts w:ascii="Arial" w:hAnsi="Arial" w:cs="Arial"/>
        </w:rPr>
      </w:pPr>
      <w:r>
        <w:rPr>
          <w:rFonts w:cs="Arial" w:ascii="Arial" w:hAnsi="Arial"/>
        </w:rPr>
        <w:t xml:space="preserve">PAPI czyli tradycyjną metodą przeprowadzania ankiet za pomocą papierowych kwestionariuszy, które są wypełniane odręcznie przez respondentów. Zaletą tej techniki jest </w:t>
      </w:r>
      <w:r>
        <w:rPr>
          <w:rStyle w:val="Strong"/>
          <w:rFonts w:cs="Arial" w:ascii="Arial" w:hAnsi="Arial"/>
          <w:b w:val="false"/>
          <w:bCs w:val="false"/>
        </w:rPr>
        <w:t>prostota w prowadzeniu badań. Technika</w:t>
      </w:r>
      <w:r>
        <w:rPr>
          <w:rStyle w:val="Strong"/>
          <w:rFonts w:cs="Arial" w:ascii="Arial" w:hAnsi="Arial"/>
        </w:rPr>
        <w:t xml:space="preserve"> </w:t>
      </w:r>
      <w:r>
        <w:rPr>
          <w:rFonts w:cs="Arial" w:ascii="Arial" w:hAnsi="Arial"/>
        </w:rPr>
        <w:t>Nie wymaga specjalistycznej wiedzy ani sprzętu.</w:t>
      </w:r>
      <w:r>
        <w:rPr>
          <w:rStyle w:val="Strong"/>
          <w:rFonts w:cs="Arial" w:ascii="Arial" w:hAnsi="Arial"/>
        </w:rPr>
        <w:t xml:space="preserve"> </w:t>
      </w:r>
      <w:r>
        <w:rPr>
          <w:rStyle w:val="Strong"/>
          <w:rFonts w:cs="Arial" w:ascii="Arial" w:hAnsi="Arial"/>
          <w:b w:val="false"/>
          <w:bCs w:val="false"/>
        </w:rPr>
        <w:t>Brak barier technologicznych nie ogranicza możliwości prowadzenia badań wśród</w:t>
      </w:r>
      <w:r>
        <w:rPr>
          <w:rStyle w:val="Strong"/>
          <w:rFonts w:cs="Arial" w:ascii="Arial" w:hAnsi="Arial"/>
        </w:rPr>
        <w:t xml:space="preserve"> </w:t>
      </w:r>
      <w:r>
        <w:rPr>
          <w:rFonts w:cs="Arial" w:ascii="Arial" w:hAnsi="Arial"/>
        </w:rPr>
        <w:t xml:space="preserve">osób bez dostępu do Internetu. </w:t>
      </w:r>
    </w:p>
    <w:p>
      <w:pPr>
        <w:pStyle w:val="Normal"/>
        <w:spacing w:lineRule="auto" w:line="360"/>
        <w:ind w:firstLine="708"/>
        <w:jc w:val="both"/>
        <w:rPr>
          <w:rFonts w:ascii="Arial" w:hAnsi="Arial" w:eastAsia="Times New Roman" w:cs="Arial"/>
          <w:kern w:val="0"/>
          <w:lang w:eastAsia="pl-PL"/>
          <w14:ligatures w14:val="none"/>
        </w:rPr>
      </w:pPr>
      <w:r>
        <w:rPr>
          <w:rFonts w:cs="Arial" w:ascii="Arial" w:hAnsi="Arial"/>
        </w:rPr>
        <w:t xml:space="preserve">Badanie ilościowe mieszkańców wykonano z zastosowaniem zogniskowanych wywiadów grupowych z kluczowymi interesariuszami usług społecznych. </w:t>
      </w:r>
      <w:r>
        <w:rPr>
          <w:rFonts w:eastAsia="Times New Roman" w:cs="Arial" w:ascii="Arial" w:hAnsi="Arial"/>
          <w:kern w:val="0"/>
          <w:lang w:eastAsia="pl-PL"/>
          <w14:ligatures w14:val="none"/>
        </w:rPr>
        <w:t xml:space="preserve">Wywiad zogniskowany, inaczej </w:t>
      </w:r>
      <w:hyperlink r:id="rId3">
        <w:r>
          <w:rPr>
            <w:rStyle w:val="Style"/>
            <w:rFonts w:eastAsia="Times New Roman" w:cs="Arial" w:ascii="Arial" w:hAnsi="Arial"/>
            <w:kern w:val="0"/>
            <w:lang w:eastAsia="pl-PL"/>
            <w14:ligatures w14:val="none"/>
          </w:rPr>
          <w:t>focus group</w:t>
        </w:r>
      </w:hyperlink>
      <w:r>
        <w:rPr>
          <w:rFonts w:eastAsia="Times New Roman" w:cs="Arial" w:ascii="Arial" w:hAnsi="Arial"/>
          <w:kern w:val="0"/>
          <w:lang w:eastAsia="pl-PL"/>
          <w14:ligatures w14:val="none"/>
        </w:rPr>
        <w:t xml:space="preserve"> (FGI) jest jakościową metodą badawczą polegająca na moderowanej przez badacza dyskusji małej, celowo dobranej grupy respondentów na określony temat. Celem badania jest pogłębione zrozumienie opinii, postaw, motywacji i potrzeb uczestników, a także uzyskanie informacji, które nie są dostępne w badaniach ilościowych. Interakcja między uczestnikami stymuluje ich do wyrażania poglądów i budowania pomysłów, a sam wywiad jest nagrywany. </w:t>
      </w:r>
    </w:p>
    <w:p>
      <w:pPr>
        <w:pStyle w:val="NormalWeb"/>
        <w:spacing w:lineRule="auto" w:line="360" w:before="280" w:after="280"/>
        <w:jc w:val="both"/>
        <w:rPr>
          <w:rFonts w:ascii="Arial" w:hAnsi="Arial" w:cs="Arial"/>
        </w:rPr>
      </w:pPr>
      <w:r>
        <w:rPr>
          <w:rFonts w:cs="Arial" w:ascii="Arial" w:hAnsi="Arial"/>
        </w:rPr>
        <w:tab/>
        <w:t xml:space="preserve">W badaniach jakościowych zastosowano też „Warsztaty Servise Desing” (społeczne projektowanie usług) z przedstawicielami kluczowych grup odbiorców usług społecznych. </w:t>
      </w:r>
      <w:r>
        <w:rPr>
          <w:rStyle w:val="Strong"/>
          <w:rFonts w:eastAsia="" w:cs="Arial" w:ascii="Arial" w:hAnsi="Arial" w:eastAsiaTheme="majorEastAsia"/>
          <w:b w:val="false"/>
          <w:bCs w:val="false"/>
        </w:rPr>
        <w:t>Service design</w:t>
      </w:r>
      <w:r>
        <w:rPr>
          <w:rFonts w:cs="Arial" w:ascii="Arial" w:hAnsi="Arial"/>
        </w:rPr>
        <w:t xml:space="preserve"> to holistyczne i interdyscyplinarne podejście, które integruje narzędzia z różnych dziedzin. Koncentruje się na projektowaniu usług z perspektywy doświadczeń użytkownika, obejmując wszystkie punkty styku klienta z organizacją. Service design pozwala spojrzeć na problemy i potrzeby z wielu perspektyw, co często prowadzi do przełomowych innowacji wykraczających poza oczywiste rozwiązania. Proces ten nie tylko umożliwia realizację celów, ale przede wszystkim zapewnia, że tworzone rozwiązania rzeczywiście odpowiadają na autentyczne potrzeby użytkowników. Warsztaty przeprowadzono z dwiema grupami interesariuszy tj. przedstawicielami podmiotów oferujących potencjalne usługi społecznej oraz osobami będącymi potencjalnymi odbiorcami usług społecznych na terenie Gminy Bychawa.</w:t>
      </w:r>
      <w:r>
        <w:rPr>
          <w:rStyle w:val="Strong"/>
          <w:rFonts w:eastAsia="" w:cs="Arial" w:ascii="Arial" w:hAnsi="Arial" w:eastAsiaTheme="majorEastAsia"/>
          <w:b w:val="false"/>
          <w:bCs w:val="false"/>
        </w:rPr>
        <w:t xml:space="preserve"> Warsztaty posłużyły identyfikacji obszarów problemowych,</w:t>
      </w:r>
      <w:r>
        <w:rPr>
          <w:rFonts w:cs="Arial" w:ascii="Arial" w:hAnsi="Arial"/>
        </w:rPr>
        <w:t xml:space="preserve"> dla których istniejące rozwiązania nie są satysfakcjonujące, co stwarza przestrzeń dla innowacyjnych pomysłów i rozwoju nowych niedostępnych jeszcze usług. Badania jakościowe uzupełniono też techniką Indywidualnych Wywiadów Pogłębionych przeprowadzonych z lokalnymi ekspertami w zakresie organizowania i dostarczania usług społecznych.</w:t>
      </w:r>
    </w:p>
    <w:p>
      <w:pPr>
        <w:pStyle w:val="NormalWeb"/>
        <w:spacing w:lineRule="auto" w:line="360" w:before="280" w:after="280"/>
        <w:ind w:firstLine="708"/>
        <w:jc w:val="both"/>
        <w:rPr>
          <w:rFonts w:ascii="Arial" w:hAnsi="Arial" w:cs="Arial"/>
        </w:rPr>
      </w:pPr>
      <w:r>
        <w:rPr>
          <w:rFonts w:cs="Arial" w:ascii="Arial" w:hAnsi="Arial"/>
        </w:rPr>
        <w:t xml:space="preserve">Całość procesu diagnostycznego ułożono w logiczny schemat następujących po sobie kolejnych działań, tak aby przedstawić ogólną sytuację Gminy Bychawa </w:t>
        <w:br/>
        <w:t>i wykorzystać ten opis do formułowania wniosków w zakresie określenia – czy?  i - jakie usługi mogą zainteresować mieszkańców? Następnie wprowadzono informacje o stanie świadczonych obecnie usług z uwzględnieniem zapotrzebowania na te usługi, następnie określono jakie obszary problemowe dominują w opinii społecznej w kontekście wypełnienia ich usługami społecznymi i wreszcie zakończono diagnozę wskazaniem kategorii usług społecznych, które mogą w przyszłości rozwijać się jako odpowiedź na potrzeby społeczne mieszkańców.</w:t>
      </w:r>
    </w:p>
    <w:p>
      <w:pPr>
        <w:pStyle w:val="NormalWeb"/>
        <w:spacing w:lineRule="auto" w:line="360" w:before="280" w:after="280"/>
        <w:ind w:firstLine="708"/>
        <w:jc w:val="both"/>
        <w:rPr>
          <w:rFonts w:ascii="Arial" w:hAnsi="Arial" w:cs="Arial"/>
        </w:rPr>
      </w:pPr>
      <w:r>
        <w:rPr>
          <w:rFonts w:cs="Arial" w:ascii="Arial" w:hAnsi="Arial"/>
        </w:rPr>
        <w:t xml:space="preserve">Badania prowadzono z uwzględnieniem łączenia jakościowych i ilościowych metod i technik badawczych, co pozwala na uzyskanie wszechstronnego opisu i wyjaśnienie zjawisk związanych z potrzebami i potencjałem wspólnoty samorządowej w zakresie usług społecznych. </w:t>
      </w:r>
    </w:p>
    <w:p>
      <w:pPr>
        <w:pStyle w:val="NormalWeb"/>
        <w:spacing w:lineRule="auto" w:line="360" w:before="280" w:after="280"/>
        <w:ind w:firstLine="708"/>
        <w:jc w:val="both"/>
        <w:rPr>
          <w:rFonts w:ascii="Arial" w:hAnsi="Arial" w:cs="Arial"/>
        </w:rPr>
      </w:pPr>
      <w:r>
        <w:rPr>
          <w:rFonts w:cs="Arial" w:ascii="Arial" w:hAnsi="Arial"/>
        </w:rPr>
        <w:t>Potencjał wspólnoty samorządowej związany z organizacją i dostarczeniem usług społecznych został przedstawiony w końcowej części rozdziału poświęconego diagnozie potrzeb i potencjału wspólnoty samorządowej.</w:t>
      </w:r>
    </w:p>
    <w:p>
      <w:pPr>
        <w:pStyle w:val="NormalWeb"/>
        <w:spacing w:lineRule="auto" w:line="360" w:before="280" w:after="280"/>
        <w:ind w:firstLine="708"/>
        <w:jc w:val="both"/>
        <w:rPr>
          <w:rFonts w:ascii="Arial" w:hAnsi="Arial" w:cs="Arial"/>
        </w:rPr>
      </w:pPr>
      <w:r>
        <w:rPr>
          <w:rFonts w:cs="Arial" w:ascii="Arial" w:hAnsi="Arial"/>
        </w:rPr>
        <w:t xml:space="preserve"> </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Heading1"/>
        <w:numPr>
          <w:ilvl w:val="0"/>
          <w:numId w:val="1"/>
        </w:numPr>
        <w:jc w:val="both"/>
        <w:rPr>
          <w:color w:val="00204F"/>
          <w:sz w:val="28"/>
          <w:szCs w:val="28"/>
        </w:rPr>
      </w:pPr>
      <w:bookmarkStart w:id="5" w:name="_Toc211356336"/>
      <w:r>
        <w:rPr>
          <w:color w:val="00204F"/>
          <w:sz w:val="28"/>
          <w:szCs w:val="28"/>
        </w:rPr>
        <w:t>Diagnoza potrzeb i potencjału wspólnoty samorządowej Gminy Bychawa w zakresie usług społecznych</w:t>
      </w:r>
      <w:bookmarkEnd w:id="5"/>
      <w:r>
        <w:rPr>
          <w:color w:val="00204F"/>
          <w:sz w:val="28"/>
          <w:szCs w:val="28"/>
        </w:rPr>
        <w:t xml:space="preserve"> </w:t>
      </w:r>
    </w:p>
    <w:p>
      <w:pPr>
        <w:pStyle w:val="Normal"/>
        <w:spacing w:lineRule="auto" w:line="360"/>
        <w:ind w:firstLine="708"/>
        <w:jc w:val="both"/>
        <w:rPr>
          <w:rFonts w:ascii="Arial" w:hAnsi="Arial" w:cs="Arial"/>
        </w:rPr>
      </w:pPr>
      <w:r>
        <w:rPr>
          <w:rFonts w:cs="Arial" w:ascii="Arial" w:hAnsi="Arial"/>
        </w:rPr>
        <w:t>W celu przedstawienia szerszego kontekstu zapotrzebowania na usługi społeczne oraz sposobu ich organizacji, diagnoza potrzeb i potencjału wspólnoty samorządowej Gminy Bychawa została poprzedzona analizą oraz opisem sytuacji społeczno-ekonomicznej gminy. W kategoriach analizy sytuacji społecznej wiele uwagi poświecono sytuacji demograficznej, która jest wyznacznikiem dla podejmowania różnych działań, nie tylko organizacji usług społecznych na terenie gminy. Demografia sama w sobie prezentuje szczególne kategorie wiekowe, które mogą być albo już są zainteresowane dostępem do usług, w tym usług społecznych. Stąd też analiza sytuacji demograficznej w Gminie Bychawa wydaje się w pełni uzasadniona.</w:t>
      </w:r>
    </w:p>
    <w:p>
      <w:pPr>
        <w:pStyle w:val="Normal"/>
        <w:spacing w:lineRule="auto" w:line="360"/>
        <w:ind w:firstLine="708"/>
        <w:jc w:val="both"/>
        <w:rPr>
          <w:rFonts w:ascii="Arial" w:hAnsi="Arial" w:cs="Arial"/>
        </w:rPr>
      </w:pPr>
      <w:r>
        <w:rPr>
          <w:rFonts w:cs="Arial" w:ascii="Arial" w:hAnsi="Arial"/>
        </w:rPr>
        <w:t xml:space="preserve">Równie ważne mogą okazać się warunki, w jakich żyją mieszkańcy Gminy Bychawa. Zwłaszcza poziom zamożności mieszkańców może okazać się ważnym czynnikiem wpływu na organizację usług społecznych, koszt oraz standard usług. </w:t>
      </w:r>
    </w:p>
    <w:p>
      <w:pPr>
        <w:pStyle w:val="Normal"/>
        <w:spacing w:lineRule="auto" w:line="360"/>
        <w:ind w:firstLine="708"/>
        <w:jc w:val="both"/>
        <w:rPr>
          <w:rFonts w:ascii="Arial" w:hAnsi="Arial" w:cs="Arial"/>
        </w:rPr>
      </w:pPr>
      <w:r>
        <w:rPr>
          <w:rFonts w:cs="Arial" w:ascii="Arial" w:hAnsi="Arial"/>
        </w:rPr>
        <w:t xml:space="preserve">Niski poziom zamożności mieszkańców może być znaczącym wskaźnikiem dla pilnej konieczności zapewnienia usług społecznych, z uwagi na ograniczenia lub całkowity brak dostępu do niezbędnych, ale droższych usług komercyjnych. Wyższy poziom zamożności mieszkańców może spowodować mniejsze zainteresowanie usługami społecznymi, na rzecz usług komercyjnych, które mieszkańcy o wyższym statusie społecznym i lepszej sytuacji ekonomicznej będą wybierać bez względu na jakość i standard usługi - dla zasady „stać mnie, więc kupuję usługę i nie muszę nikogo prosić o jej zapewnienie”. </w:t>
      </w:r>
    </w:p>
    <w:p>
      <w:pPr>
        <w:pStyle w:val="Normal"/>
        <w:spacing w:lineRule="auto" w:line="360"/>
        <w:ind w:firstLine="708"/>
        <w:jc w:val="both"/>
        <w:rPr>
          <w:rFonts w:ascii="Arial" w:hAnsi="Arial" w:cs="Arial"/>
        </w:rPr>
      </w:pPr>
      <w:r>
        <w:rPr>
          <w:rFonts w:cs="Arial" w:ascii="Arial" w:hAnsi="Arial"/>
        </w:rPr>
        <w:t xml:space="preserve">Patrząc z innej perspektywy - usługa społeczna dostępna blisko miejsca zamieszkania, o dobrym standardzie i przystępnej cenie będzie okazją do jej wyboru w myśl zasady „po co szukać gdzie indziej, skoro jest na miejscu, nawet jeżeli była by częściowo płatna”. Te argumenty mogą stać się istotne w procesie organizacji usług w CUS. </w:t>
      </w:r>
      <w:r>
        <w:br w:type="page"/>
      </w:r>
    </w:p>
    <w:p>
      <w:pPr>
        <w:pStyle w:val="Heading2"/>
        <w:numPr>
          <w:ilvl w:val="1"/>
          <w:numId w:val="1"/>
        </w:numPr>
        <w:spacing w:before="0" w:after="80"/>
        <w:jc w:val="both"/>
        <w:rPr>
          <w:rFonts w:ascii="Arial" w:hAnsi="Arial" w:cs="Arial"/>
          <w:b/>
          <w:bCs/>
          <w:color w:val="00204F"/>
          <w:sz w:val="28"/>
          <w:szCs w:val="28"/>
        </w:rPr>
      </w:pPr>
      <w:bookmarkStart w:id="6" w:name="_Toc211356337"/>
      <w:r>
        <w:rPr>
          <w:rFonts w:cs="Arial" w:ascii="Arial" w:hAnsi="Arial"/>
          <w:b/>
          <w:bCs/>
          <w:color w:val="00204F"/>
          <w:sz w:val="28"/>
          <w:szCs w:val="28"/>
        </w:rPr>
        <w:t>Sytuacja społeczna i ekonomiczna mieszkańców Gminy Bychawa generująca popyt na usługi społeczne</w:t>
      </w:r>
      <w:bookmarkEnd w:id="6"/>
    </w:p>
    <w:p>
      <w:pPr>
        <w:pStyle w:val="Normal"/>
        <w:rPr/>
      </w:pPr>
      <w:r>
        <w:rPr/>
      </w:r>
    </w:p>
    <w:p>
      <w:pPr>
        <w:pStyle w:val="Normal"/>
        <w:spacing w:lineRule="auto" w:line="360" w:before="0" w:after="240"/>
        <w:ind w:firstLine="708"/>
        <w:jc w:val="both"/>
        <w:rPr>
          <w:rFonts w:ascii="Times New Roman" w:hAnsi="Times New Roman" w:eastAsia="Times New Roman" w:cs="Times New Roman"/>
          <w:kern w:val="0"/>
          <w:lang w:eastAsia="pl-PL"/>
          <w14:ligatures w14:val="none"/>
        </w:rPr>
      </w:pPr>
      <w:r>
        <w:rPr>
          <w:rFonts w:eastAsia="Times New Roman" w:cs="Arial" w:ascii="Arial" w:hAnsi="Arial"/>
          <w:kern w:val="0"/>
          <w:lang w:eastAsia="pl-PL"/>
          <w14:ligatures w14:val="none"/>
        </w:rPr>
        <w:t xml:space="preserve">Gmina Bychawa jest gminą miejsko-wiejską Należy do województwa lubelskiego i ziemskiego powiatu lubelskiego. Gminę Bychawa zamieszkuje </w:t>
      </w:r>
      <w:r>
        <w:rPr>
          <w:rFonts w:cs="Arial" w:ascii="Arial" w:hAnsi="Arial"/>
        </w:rPr>
        <w:t xml:space="preserve">10 724 </w:t>
      </w:r>
      <w:r>
        <w:rPr>
          <w:rFonts w:eastAsia="Times New Roman" w:cs="Arial" w:ascii="Arial" w:hAnsi="Arial"/>
          <w:kern w:val="0"/>
          <w:lang w:eastAsia="pl-PL"/>
          <w14:ligatures w14:val="none"/>
        </w:rPr>
        <w:t xml:space="preserve">mieszkańców </w:t>
      </w:r>
      <w:r>
        <w:rPr>
          <w:rStyle w:val="FootnoteReference"/>
          <w:rFonts w:cs="Arial" w:ascii="Arial" w:hAnsi="Arial"/>
        </w:rPr>
        <w:footnoteReference w:id="8"/>
      </w:r>
      <w:r>
        <w:rPr>
          <w:rFonts w:eastAsia="Times New Roman" w:cs="Arial" w:ascii="Arial" w:hAnsi="Arial"/>
          <w:kern w:val="0"/>
          <w:lang w:eastAsia="pl-PL"/>
          <w14:ligatures w14:val="none"/>
        </w:rPr>
        <w:t xml:space="preserve">, czyli 7,5% ludności powiatu. Powierzchnia Gminy Bychawa wynosi 146,4 km², gęstość zaludnienia to 78 osób na </w:t>
      </w:r>
      <w:bookmarkStart w:id="7" w:name="_Hlk210989291"/>
      <w:r>
        <w:rPr>
          <w:rFonts w:eastAsia="Times New Roman" w:cs="Arial" w:ascii="Arial" w:hAnsi="Arial"/>
          <w:kern w:val="0"/>
          <w:lang w:eastAsia="pl-PL"/>
          <w14:ligatures w14:val="none"/>
        </w:rPr>
        <w:t xml:space="preserve">km² </w:t>
      </w:r>
      <w:bookmarkEnd w:id="7"/>
      <w:r>
        <w:rPr>
          <w:rFonts w:eastAsia="Times New Roman" w:cs="Arial" w:ascii="Arial" w:hAnsi="Arial"/>
          <w:kern w:val="0"/>
          <w:lang w:eastAsia="pl-PL"/>
          <w14:ligatures w14:val="none"/>
        </w:rPr>
        <w:t xml:space="preserve">i jest mniejsza niż średnia gęstość zaludnienia dla powiatu lubelskiego ziemskiego, w którym gęstość zaludnienia wynosi 94 osoby na km². W strukturze Gminy znajduje się Miasto Bychawa będące jednocześnie siedzibą Gminy Bychawa. Samo Miasto zajmuje powierzchnię 6,7 km², zasiedla je 4757 mieszkańców a gęstość zaludnienia wynosi 71 osób na km². Gęstość zaludnienia w Mieście Bychawa jest mniejsza niż gęstość zaludnienia liczona dla całej Gminy Bychawa </w:t>
      </w:r>
      <w:r>
        <w:rPr>
          <w:rStyle w:val="FootnoteReference"/>
          <w:rFonts w:eastAsia="Times New Roman" w:cs="Arial" w:ascii="Arial" w:hAnsi="Arial"/>
          <w:kern w:val="0"/>
          <w:lang w:eastAsia="pl-PL"/>
          <w14:ligatures w14:val="none"/>
        </w:rPr>
        <w:footnoteReference w:id="9"/>
      </w:r>
      <w:r>
        <w:rPr>
          <w:rFonts w:eastAsia="Times New Roman" w:cs="Arial" w:ascii="Arial" w:hAnsi="Arial"/>
          <w:kern w:val="0"/>
          <w:lang w:eastAsia="pl-PL"/>
          <w14:ligatures w14:val="none"/>
        </w:rPr>
        <w:t>.</w:t>
      </w:r>
      <w:r>
        <w:rPr>
          <w:rFonts w:eastAsia="Times New Roman" w:cs="Times New Roman" w:ascii="Times New Roman" w:hAnsi="Times New Roman"/>
          <w:kern w:val="0"/>
          <w:lang w:eastAsia="pl-PL"/>
          <w14:ligatures w14:val="none"/>
        </w:rPr>
        <w:t xml:space="preserve"> </w:t>
      </w:r>
      <w:r>
        <w:rPr>
          <w:rFonts w:eastAsia="Times New Roman" w:cs="Arial" w:ascii="Arial" w:hAnsi="Arial"/>
          <w:kern w:val="0"/>
          <w:lang w:eastAsia="pl-PL"/>
          <w14:ligatures w14:val="none"/>
        </w:rPr>
        <w:t>Średni wiek mieszkańców wynosi 42,2 lata i jest porównywalny do średniego wieku mieszkańców województwa lubelskiego oraz porównywalny do średniego wieku mieszkańców całej Polski.</w:t>
      </w:r>
    </w:p>
    <w:p>
      <w:pPr>
        <w:pStyle w:val="Normal"/>
        <w:spacing w:lineRule="auto" w:line="360" w:before="0" w:after="240"/>
        <w:ind w:firstLine="708"/>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Sytuację społeczną i ekonomiczną mieszkańców poddano analizie w kilku obszarach, demograficznym, mieszkaniowym, </w:t>
      </w:r>
      <w:bookmarkStart w:id="8" w:name="_Hlk210996063"/>
      <w:r>
        <w:rPr>
          <w:rFonts w:eastAsia="Times New Roman" w:cs="Arial" w:ascii="Arial" w:hAnsi="Arial"/>
          <w:kern w:val="0"/>
          <w:lang w:eastAsia="pl-PL"/>
          <w14:ligatures w14:val="none"/>
        </w:rPr>
        <w:t>obszarze zatrudnienia i bezrobocia, dochodach oraz dostępie do edukacji i ochrony zdrowia.</w:t>
      </w:r>
      <w:bookmarkEnd w:id="8"/>
    </w:p>
    <w:p>
      <w:pPr>
        <w:pStyle w:val="Heading3"/>
        <w:numPr>
          <w:ilvl w:val="2"/>
          <w:numId w:val="1"/>
        </w:numPr>
        <w:jc w:val="both"/>
        <w:rPr>
          <w:rFonts w:ascii="Arial" w:hAnsi="Arial" w:cs="Arial"/>
          <w:b/>
          <w:bCs/>
          <w:color w:val="00204F"/>
        </w:rPr>
      </w:pPr>
      <w:bookmarkStart w:id="9" w:name="_Toc211356338"/>
      <w:r>
        <w:rPr>
          <w:rFonts w:cs="Arial" w:ascii="Arial" w:hAnsi="Arial"/>
          <w:b/>
          <w:bCs/>
          <w:color w:val="00204F"/>
        </w:rPr>
        <w:t>Sytuacja demograficzna mieszkańców Gminy Bychawa</w:t>
      </w:r>
      <w:bookmarkEnd w:id="9"/>
    </w:p>
    <w:p>
      <w:pPr>
        <w:pStyle w:val="Normal"/>
        <w:rPr/>
      </w:pPr>
      <w:r>
        <w:rPr/>
      </w:r>
    </w:p>
    <w:p>
      <w:pPr>
        <w:pStyle w:val="Normal"/>
        <w:spacing w:lineRule="auto" w:line="360"/>
        <w:ind w:firstLine="708"/>
        <w:jc w:val="both"/>
        <w:rPr>
          <w:rFonts w:ascii="Arial" w:hAnsi="Arial" w:cs="Arial"/>
        </w:rPr>
      </w:pPr>
      <w:r>
        <w:rPr>
          <w:rFonts w:cs="Arial" w:ascii="Arial" w:hAnsi="Arial"/>
        </w:rPr>
        <w:t xml:space="preserve">Liczba ludności Gminy Bychawa w latach 2014–2024 wykazuje wyraźny trend spadkowy. w 2014 roku na terenie gminy mieszkało 12 048 osób, natomiast na koniec 2024 roku liczba ta zmniejszyła się do </w:t>
      </w:r>
      <w:bookmarkStart w:id="10" w:name="_Hlk210990562"/>
      <w:r>
        <w:rPr>
          <w:rFonts w:cs="Arial" w:ascii="Arial" w:hAnsi="Arial"/>
        </w:rPr>
        <w:t>10 724</w:t>
      </w:r>
      <w:bookmarkEnd w:id="10"/>
      <w:r>
        <w:rPr>
          <w:rFonts w:cs="Arial" w:ascii="Arial" w:hAnsi="Arial"/>
        </w:rPr>
        <w:t xml:space="preserve">. Oznacza to spadek populacji o 1 324 osoby w ciągu dziesięciu lat, co stanowi około 11% stanu wyjściowego. Zmniejszanie się liczby mieszkańców ma charakter systematyczny i nieprzerwany, przy czym największy spadek zanotowano między rokiem 2019 a 2020, kiedy populacja zmniejszyła się o 385 osób. </w:t>
      </w:r>
    </w:p>
    <w:p>
      <w:pPr>
        <w:pStyle w:val="Normal"/>
        <w:spacing w:lineRule="auto" w:line="360"/>
        <w:ind w:firstLine="708"/>
        <w:jc w:val="both"/>
        <w:rPr>
          <w:rFonts w:ascii="Arial" w:hAnsi="Arial" w:cs="Arial"/>
        </w:rPr>
      </w:pPr>
      <w:r>
        <w:rPr>
          <w:rFonts w:cs="Arial" w:ascii="Arial" w:hAnsi="Arial"/>
        </w:rPr>
        <w:t>Zjawisko to wpisuje się w obserwowaną w wielu gminach wiejskich tendencję depopulacji, wynikającą zarówno z ujemnego przyrostu naturalnego, jak i odpływu migracyjnego, szczególnie ludzi młodych w wieku produkcyjnym, którzy przenoszą się do większych ośrodków miejskich.</w:t>
      </w:r>
    </w:p>
    <w:p>
      <w:pPr>
        <w:pStyle w:val="Normal"/>
        <w:spacing w:lineRule="auto" w:line="360"/>
        <w:ind w:firstLine="708"/>
        <w:jc w:val="both"/>
        <w:rPr>
          <w:rFonts w:ascii="Arial" w:hAnsi="Arial" w:cs="Arial"/>
        </w:rPr>
      </w:pPr>
      <w:r>
        <w:rPr>
          <w:rFonts w:cs="Arial" w:ascii="Arial" w:hAnsi="Arial"/>
        </w:rPr>
      </w:r>
    </w:p>
    <w:p>
      <w:pPr>
        <w:pStyle w:val="Caption"/>
        <w:rPr>
          <w:color w:themeColor="accent1" w:val="4A66AC"/>
        </w:rPr>
      </w:pPr>
      <w:bookmarkStart w:id="11" w:name="_Toc211275261"/>
      <w:r>
        <w:rPr/>
        <w:t xml:space="preserve">Wykres </w:t>
      </w:r>
      <w:r>
        <w:rPr/>
        <w:fldChar w:fldCharType="begin"/>
      </w:r>
      <w:r>
        <w:rPr/>
        <w:instrText xml:space="preserve"> SEQ Wykres \* ARABIC </w:instrText>
      </w:r>
      <w:r>
        <w:rPr/>
        <w:fldChar w:fldCharType="separate"/>
      </w:r>
      <w:r>
        <w:rPr/>
        <w:t>1</w:t>
      </w:r>
      <w:r>
        <w:rPr/>
        <w:fldChar w:fldCharType="end"/>
      </w:r>
      <w:r>
        <w:rPr/>
        <w:t>. Ludność Gminy Bychawa w latach 2014-2024</w:t>
      </w:r>
      <w:bookmarkEnd w:id="11"/>
    </w:p>
    <w:p>
      <w:pPr>
        <w:pStyle w:val="Normal"/>
        <w:spacing w:lineRule="auto" w:line="360"/>
        <w:jc w:val="both"/>
        <w:rPr>
          <w:rFonts w:ascii="Arial" w:hAnsi="Arial" w:cs="Arial"/>
        </w:rPr>
      </w:pPr>
      <w:r>
        <w:rPr/>
        <w:drawing>
          <wp:inline distT="0" distB="0" distL="0" distR="0">
            <wp:extent cx="5760720" cy="2592070"/>
            <wp:effectExtent l="0" t="0" r="0" b="0"/>
            <wp:docPr id="2" name="Wykres 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Caption"/>
        <w:rPr/>
      </w:pPr>
      <w:r>
        <w:rPr/>
        <w:t xml:space="preserve">Źródło: Opracowanie własne na podstawie danych Banku Danych Lokalnych Głównego Urzędu Statystycznego, </w:t>
      </w:r>
      <w:hyperlink r:id="rId5">
        <w:r>
          <w:rPr>
            <w:rStyle w:val="Hyperlink"/>
            <w:color w:themeColor="accent1" w:val="4A66AC"/>
            <w:sz w:val="20"/>
            <w:szCs w:val="20"/>
          </w:rPr>
          <w:t>www.stat.gov.pl</w:t>
        </w:r>
      </w:hyperlink>
      <w:r>
        <w:rPr>
          <w:color w:themeColor="accent1" w:val="4A66AC"/>
        </w:rPr>
        <w:t xml:space="preserve"> </w:t>
      </w:r>
    </w:p>
    <w:p>
      <w:pPr>
        <w:pStyle w:val="Normal"/>
        <w:rPr/>
      </w:pPr>
      <w:r>
        <w:rPr/>
      </w:r>
    </w:p>
    <w:p>
      <w:pPr>
        <w:pStyle w:val="Normal"/>
        <w:spacing w:lineRule="auto" w:line="360"/>
        <w:ind w:firstLine="708"/>
        <w:jc w:val="both"/>
        <w:rPr>
          <w:rFonts w:ascii="Arial" w:hAnsi="Arial" w:cs="Arial"/>
        </w:rPr>
      </w:pPr>
      <w:r>
        <w:rPr>
          <w:rFonts w:cs="Arial" w:ascii="Arial" w:hAnsi="Arial"/>
        </w:rPr>
        <w:t xml:space="preserve">Spadek liczby mieszkańców dotyczy zarówno kobiet, jak i mężczyzn, jednak tempo zmniejszania się populacji mężczyzn jest nieco wyższe. W 2014 roku liczba mężczyzn wynosiła 5 856, natomiast w 2024 roku już tylko 5 153, co oznacza spadek o 703 osoby, czyli o około 12%. w tym samym okresie ubyło kobiet tj. z 6 192 do 5 571, co stanowi spadek o 621 osób, czyli o około 10%. Mimo tego kobiety niezmiennie stanowią nieco ponad połowę populacji gminy (około 52%), a struktura płci pozostaje względnie stabilna na przestrzeni całej dekady. </w:t>
      </w:r>
    </w:p>
    <w:p>
      <w:pPr>
        <w:pStyle w:val="Normal"/>
        <w:spacing w:lineRule="auto" w:line="360"/>
        <w:ind w:firstLine="708"/>
        <w:jc w:val="both"/>
        <w:rPr>
          <w:rFonts w:ascii="Arial" w:hAnsi="Arial" w:cs="Arial"/>
        </w:rPr>
      </w:pPr>
      <w:r>
        <w:rPr>
          <w:rFonts w:cs="Arial" w:ascii="Arial" w:hAnsi="Arial"/>
        </w:rPr>
        <w:t>Zjawisko to może mieć istotne konsekwencje dla lokalnej gospodarki oraz polityki społecznej, w szczególności w kontekście planowania usług  opiekuńczych, wspierających, profilaktycznych, gdyż przewaga liczby kobiet w populacji w dłuższym okresie zwykle oznacza dłuższy okres starości (kobiety statystycznie żyją dłużej) często wymagający opiekowania się, pomocy, wsparcia słowem usług zewnętrznych, w tym usług społecznych.</w:t>
      </w:r>
    </w:p>
    <w:p>
      <w:pPr>
        <w:pStyle w:val="Normal"/>
        <w:spacing w:lineRule="auto" w:line="360"/>
        <w:ind w:firstLine="708"/>
        <w:jc w:val="both"/>
        <w:rPr>
          <w:rFonts w:ascii="Arial" w:hAnsi="Arial" w:cs="Arial"/>
        </w:rPr>
      </w:pPr>
      <w:r>
        <w:rPr>
          <w:rFonts w:cs="Arial" w:ascii="Arial" w:hAnsi="Arial"/>
        </w:rPr>
        <w:t>Analizując dotychczasowy trend spadkowy można oczekiwać dalszego zmniejszania się liczby mieszkańców gminy Bychawa w kolejnych latach. Przy założeniu utrzymania dotychczasowego tempa ubytku populacji, do 2030 roku liczba ludności może spaść poniżej 10 tysięcy mieszkańców, osiągając poziom około 9 800–9 900 osób. Oznaczałoby to dalszy spadek o około 7–8% w stosunku do 2024 roku.</w:t>
      </w:r>
    </w:p>
    <w:p>
      <w:pPr>
        <w:pStyle w:val="Normal"/>
        <w:spacing w:lineRule="auto" w:line="360"/>
        <w:ind w:firstLine="708"/>
        <w:jc w:val="both"/>
        <w:rPr>
          <w:rFonts w:ascii="Arial" w:hAnsi="Arial" w:cs="Arial"/>
        </w:rPr>
      </w:pPr>
      <w:r>
        <w:rPr>
          <w:rFonts w:cs="Arial" w:ascii="Arial" w:hAnsi="Arial"/>
        </w:rPr>
        <w:t>Prognoza ta, choć uproszczona, wskazuje na konieczność podejmowania działań mających na celu zatrzymanie procesów depopulacyjnych, w tym w szczególności działań sprzyjających zatrzymaniu młodych mieszkańców w gminie oraz zwiększeniu atrakcyjności osiedleńczej tego obszaru. W przeciwnym razie można spodziewać się dalszego kurczenia się bazy demograficznej, co w dłuższej perspektywie może ograniczać potencjał rozwojowy gminy.</w:t>
      </w:r>
    </w:p>
    <w:p>
      <w:pPr>
        <w:pStyle w:val="Normal"/>
        <w:spacing w:lineRule="auto" w:line="360"/>
        <w:ind w:firstLine="708"/>
        <w:jc w:val="both"/>
        <w:rPr>
          <w:rFonts w:ascii="Arial" w:hAnsi="Arial" w:cs="Arial"/>
        </w:rPr>
      </w:pPr>
      <w:r>
        <w:rPr>
          <w:rFonts w:cs="Arial" w:ascii="Arial" w:hAnsi="Arial"/>
        </w:rPr>
        <w:t xml:space="preserve">Analiza porównawcza piramid wieku mieszkańców gminy Bychawa z lat 2014 i 2024 wskazuje na wyraźne procesy demograficzne zachodzące w tym okresie. W 2014 roku struktura wiekowa miała stosunkowo zrównoważony kształt, choć już wtedy widoczny był proces starzenia się ludności – najliczniejsze grupy wiekowe stanowiły osoby w wieku 25–34 lata oraz 35–44 lata, a udział dzieci w wieku 0–12 lat był wyraźnie niższy niż grup w wieku produkcyjnym. </w:t>
      </w:r>
    </w:p>
    <w:p>
      <w:pPr>
        <w:pStyle w:val="Normal"/>
        <w:spacing w:lineRule="auto" w:line="360"/>
        <w:ind w:firstLine="708"/>
        <w:jc w:val="both"/>
        <w:rPr>
          <w:rFonts w:ascii="Arial" w:hAnsi="Arial" w:cs="Arial"/>
        </w:rPr>
      </w:pPr>
      <w:r>
        <w:rPr>
          <w:rFonts w:cs="Arial" w:ascii="Arial" w:hAnsi="Arial"/>
        </w:rPr>
        <w:t>W 2024 roku zjawisko to uległo dalszemu pogłębieniu. Widoczny jest wyraźny wzrost liczebności najstarszej kategorii – osób w wieku 65 lat i więcej – która stała się najliczniejszą grupą w populacji. Jednocześnie nastąpił spadek liczby mieszkańców w młodszych grupach wiekowych, zwłaszcza w przedziałach 0–6 i 7–12 lat, co wskazuje na niską dzietność i brak zastępowalności pokoleń.</w:t>
      </w:r>
    </w:p>
    <w:p>
      <w:pPr>
        <w:pStyle w:val="Normal"/>
        <w:spacing w:lineRule="auto" w:line="360"/>
        <w:ind w:firstLine="708"/>
        <w:jc w:val="both"/>
        <w:rPr>
          <w:rFonts w:ascii="Arial" w:hAnsi="Arial" w:cs="Arial"/>
        </w:rPr>
      </w:pPr>
      <w:r>
        <w:rPr>
          <w:rFonts w:cs="Arial" w:ascii="Arial" w:hAnsi="Arial"/>
        </w:rPr>
        <w:t>W grupach wieku produkcyjnego (20–64 lata) również obserwuje się spadek liczebności, szczególnie wśród młodszych dorosłych w wieku 20–34 lata, co może być skutkiem migracji osób młodych do większych ośrodków miejskich w poszukiwaniu pracy lub edukacji. Z kolei w grupach 45–64 lata nastąpiło względne „przesunięcie w górę” – osoby, które w 2014 roku były w wieku średnim, w 2024 roku znalazły się w wieku przedemerytalnym i emerytalnym, co dodatkowo zwiększa udział osób starszych w strukturze demograficznej gminy. Szczegółowy obraz piramidy wieku prezentują zamieszczone dalej wykresy.</w:t>
      </w:r>
    </w:p>
    <w:p>
      <w:pPr>
        <w:pStyle w:val="Normal"/>
        <w:spacing w:lineRule="auto" w:line="360"/>
        <w:ind w:firstLine="708"/>
        <w:jc w:val="both"/>
        <w:rPr>
          <w:rFonts w:ascii="Arial" w:hAnsi="Arial" w:cs="Arial"/>
        </w:rPr>
      </w:pPr>
      <w:r>
        <w:rPr>
          <w:rFonts w:cs="Arial" w:ascii="Arial" w:hAnsi="Arial"/>
        </w:rPr>
      </w:r>
    </w:p>
    <w:p>
      <w:pPr>
        <w:pStyle w:val="Caption"/>
        <w:rPr/>
      </w:pPr>
      <w:bookmarkStart w:id="12" w:name="_Toc211275262"/>
      <w:r>
        <w:rPr/>
        <w:t xml:space="preserve">Wykres </w:t>
      </w:r>
      <w:r>
        <w:rPr/>
        <w:fldChar w:fldCharType="begin"/>
      </w:r>
      <w:r>
        <w:rPr/>
        <w:instrText xml:space="preserve"> SEQ Wykres \* ARABIC </w:instrText>
      </w:r>
      <w:r>
        <w:rPr/>
        <w:fldChar w:fldCharType="separate"/>
      </w:r>
      <w:r>
        <w:rPr/>
        <w:t>2</w:t>
      </w:r>
      <w:r>
        <w:rPr/>
        <w:fldChar w:fldCharType="end"/>
      </w:r>
      <w:r>
        <w:rPr/>
        <w:t xml:space="preserve">. Piramida wieku mieszkańców Gminy Bychawa – porównanie roku 2014 </w:t>
        <w:br/>
        <w:t>z rokiem 2024</w:t>
      </w:r>
      <w:bookmarkEnd w:id="12"/>
    </w:p>
    <w:p>
      <w:pPr>
        <w:pStyle w:val="Normal"/>
        <w:spacing w:lineRule="auto" w:line="360"/>
        <w:jc w:val="both"/>
        <w:rPr>
          <w:rFonts w:ascii="Arial" w:hAnsi="Arial" w:cs="Arial"/>
        </w:rPr>
      </w:pPr>
      <w:r>
        <w:rPr/>
        <w:drawing>
          <wp:inline distT="0" distB="0" distL="0" distR="0">
            <wp:extent cx="5753100" cy="2543175"/>
            <wp:effectExtent l="0" t="0" r="0" b="0"/>
            <wp:docPr id="3"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5" descr=""/>
                    <pic:cNvPicPr>
                      <a:picLocks noChangeAspect="1" noChangeArrowheads="1"/>
                    </pic:cNvPicPr>
                  </pic:nvPicPr>
                  <pic:blipFill>
                    <a:blip r:embed="rId6"/>
                    <a:stretch>
                      <a:fillRect/>
                    </a:stretch>
                  </pic:blipFill>
                  <pic:spPr bwMode="auto">
                    <a:xfrm>
                      <a:off x="0" y="0"/>
                      <a:ext cx="5753100" cy="2543175"/>
                    </a:xfrm>
                    <a:prstGeom prst="rect">
                      <a:avLst/>
                    </a:prstGeom>
                    <a:noFill/>
                  </pic:spPr>
                </pic:pic>
              </a:graphicData>
            </a:graphic>
          </wp:inline>
        </w:drawing>
      </w:r>
    </w:p>
    <w:p>
      <w:pPr>
        <w:pStyle w:val="Caption"/>
        <w:rPr/>
      </w:pPr>
      <w:r>
        <w:rPr/>
        <w:t xml:space="preserve">Źródło: Opracowanie własne na podstawie danych Banku Danych Lokalnych Głównego Urzędu Statystycznego, ww.stat.gov.pl </w:t>
      </w:r>
    </w:p>
    <w:p>
      <w:pPr>
        <w:pStyle w:val="Normal"/>
        <w:rPr/>
      </w:pPr>
      <w:r>
        <w:rPr/>
      </w:r>
    </w:p>
    <w:p>
      <w:pPr>
        <w:pStyle w:val="Normal"/>
        <w:spacing w:lineRule="auto" w:line="360"/>
        <w:ind w:firstLine="708"/>
        <w:jc w:val="both"/>
        <w:rPr>
          <w:rFonts w:ascii="Arial" w:hAnsi="Arial" w:cs="Arial"/>
        </w:rPr>
      </w:pPr>
      <w:r>
        <w:rPr>
          <w:rFonts w:cs="Arial" w:ascii="Arial" w:hAnsi="Arial"/>
        </w:rPr>
        <w:t xml:space="preserve">Pokazane wyżej zmiany prowadzą do wyraźnej transformacji kształtu piramidy wieku z formy bardziej trapezoidalnej w 2014 roku do struktury przypominającej „gruszkę” w roku 2024, gdzie górne przedziały wiekowe są wyraźnie szersze niż dolne. Taka struktura demograficzna jest charakterystyczna dla obszarów o zaawansowanym procesie starzenia się ludności. </w:t>
      </w:r>
    </w:p>
    <w:p>
      <w:pPr>
        <w:pStyle w:val="Normal"/>
        <w:spacing w:lineRule="auto" w:line="360"/>
        <w:ind w:firstLine="708"/>
        <w:jc w:val="both"/>
        <w:rPr>
          <w:rFonts w:ascii="Arial" w:hAnsi="Arial" w:cs="Arial"/>
        </w:rPr>
      </w:pPr>
      <w:r>
        <w:rPr>
          <w:rFonts w:cs="Arial" w:ascii="Arial" w:hAnsi="Arial"/>
        </w:rPr>
        <w:t>Oznacza to, że w kolejnych latach należy spodziewać się dalszego wzrostu wskaźnika obciążenia demograficznego, czyli relacji osób w wieku poprodukcyjnym do osób w wieku produkcyjnym.</w:t>
      </w:r>
    </w:p>
    <w:p>
      <w:pPr>
        <w:pStyle w:val="Normal"/>
        <w:spacing w:lineRule="auto" w:line="360"/>
        <w:ind w:firstLine="708"/>
        <w:jc w:val="both"/>
        <w:rPr>
          <w:rFonts w:ascii="Arial" w:hAnsi="Arial" w:cs="Arial"/>
        </w:rPr>
      </w:pPr>
      <w:r>
        <w:rPr>
          <w:rFonts w:cs="Arial" w:ascii="Arial" w:hAnsi="Arial"/>
        </w:rPr>
        <w:t>Podsumowując analizowane wyżej procesy należy zauważyć, że w latach 2014–2024 w gminie Bychawa nastąpiło pogłębienie procesu starzenia się społeczeństwa, spadek liczby dzieci i młodzieży oraz zmniejszenie populacji osób w wieku produkcyjnym, co może w dłuższej perspektywie stanowić wyzwanie dla lokalnego rynku pracy i systemu usług społecznych. Zjawiska te wskazują na konieczność wdrażania działań prorodzinnych i migracyjnych, które mogłyby spowolnić niekorzystne trendy demograficzne i poprawić równowagę struktury wieku mieszkańców.</w:t>
      </w:r>
    </w:p>
    <w:p>
      <w:pPr>
        <w:pStyle w:val="Normal"/>
        <w:spacing w:lineRule="auto" w:line="360"/>
        <w:ind w:firstLine="708"/>
        <w:jc w:val="both"/>
        <w:rPr>
          <w:rFonts w:ascii="Arial" w:hAnsi="Arial" w:cs="Arial"/>
        </w:rPr>
      </w:pPr>
      <w:r>
        <w:rPr>
          <w:rFonts w:cs="Arial" w:ascii="Arial" w:hAnsi="Arial"/>
        </w:rPr>
        <w:t>Dane z 2024 roku pozwalają na porównanie struktury wiekowej mieszkańców wsi i miasta w gminie Bychawa i wskazanie istotnych różnic demograficznych pomiędzy tymi dwiema częściami gminy. Na obszarach wiejskich widoczny jest stosunkowo większy udział dzieci w wieku 0–12 lat niż w mieście. Przykładowo w grupie 7–12 lat na wsi jest 389 dzieci (206 dziewczynek i 183 chłopców), podczas gdy w mieście tylko 205. Oznacza to, że wsie cechują się nieco wyższą dzietnością lub większym udziałem rodzin z dziećmi. Jednak w grupach młodzieży w wieku 13–18 lat różnice te zaczynają się wyrównywać, a w niektórych przedziałach (np. 13–15 lat) liczba chłopców w mieście jest zbliżona do liczby na wsi mimo mniejszej populacji ogółem.</w:t>
      </w:r>
    </w:p>
    <w:p>
      <w:pPr>
        <w:pStyle w:val="Normal"/>
        <w:spacing w:lineRule="auto" w:line="360"/>
        <w:ind w:firstLine="708"/>
        <w:jc w:val="both"/>
        <w:rPr>
          <w:rFonts w:ascii="Arial" w:hAnsi="Arial" w:cs="Arial"/>
        </w:rPr>
      </w:pPr>
      <w:r>
        <w:rPr>
          <w:rFonts w:cs="Arial" w:ascii="Arial" w:hAnsi="Arial"/>
        </w:rPr>
        <w:t>W grupach dorosłych w wieku produkcyjnym (20–64 lata) zarówno w mieście, jak i na wsi najliczniejsze są przedziały 25–34 oraz 35–44 lata, przy czym na wsi są one znacznie liczniejsze. Może to wskazywać, że osoby w wieku produkcyjnym chętniej pozostają lub osiedlają się na wsi, gdzie dostępne są większe tereny mieszkaniowe, co sprzyja zakładaniu rodzin. Miasto cechuje się nieco mniejszym udziałem osób w wieku produkcyjnym, ale jednocześnie zachowuje wyraźny udział młodych dorosłych w wieku 19–24 lata – co może być skutkiem utrzymywania się w mieście osób uczących się lub pracujących w zawodach niewymagających migracji.</w:t>
      </w:r>
    </w:p>
    <w:p>
      <w:pPr>
        <w:pStyle w:val="Normal"/>
        <w:spacing w:lineRule="auto" w:line="360"/>
        <w:ind w:firstLine="708"/>
        <w:jc w:val="both"/>
        <w:rPr>
          <w:rFonts w:ascii="Arial" w:hAnsi="Arial" w:cs="Arial"/>
        </w:rPr>
      </w:pPr>
      <w:r>
        <w:rPr>
          <w:rFonts w:cs="Arial" w:ascii="Arial" w:hAnsi="Arial"/>
        </w:rPr>
        <w:t xml:space="preserve">Najbardziej wyraźna różnica pomiędzy wsią a miastem dotyczy grupy osób starszych, powyżej 65. roku życia. w obu populacjach kobiety dominują liczebnie nad mężczyznami, jednak na wsi jest ich relatywnie więcej – 757 kobiet w porównaniu </w:t>
        <w:br/>
        <w:t>z 645 w mieście. Oznacza to, że proces starzenia się populacji jest bardziej zaawansowany na obszarach wiejskich, co może być skutkiem odpływu młodych osób do miasta lub poza gminę oraz pozostawania osób starszych na gospodarstwach rolnych.</w:t>
      </w:r>
    </w:p>
    <w:p>
      <w:pPr>
        <w:pStyle w:val="Normal"/>
        <w:spacing w:lineRule="auto" w:line="360"/>
        <w:ind w:firstLine="708"/>
        <w:jc w:val="both"/>
        <w:rPr>
          <w:rFonts w:ascii="Arial" w:hAnsi="Arial" w:cs="Arial"/>
        </w:rPr>
      </w:pPr>
      <w:r>
        <w:rPr>
          <w:rFonts w:cs="Arial" w:ascii="Arial" w:hAnsi="Arial"/>
        </w:rPr>
        <w:t>Podsumowując, należy zauważyć, że struktura demograficzna Gminy Bychawa w 2024 roku wskazuje na wyraźne różnice pomiędzy miastem a wsią. Wieś charakteryzuje się większym udziałem dzieci i osób w wieku produkcyjnym, ale także bardziej zaawansowanym procesem starzenia się populacji. Miasto ma mniejszy udział dzieci i ogółem niższą liczebność osób starszych, a zarazem zachowuje stosunkowo stabilną populację osób młodych, dorosłych. Różnice te mają znaczenie dla planowania polityki społecznej i przestrzennej gminy – w szczególności rozwoju usług opiekuńczych na wsi i działań zatrzymujących młodych mieszkańców w gminie.</w:t>
      </w:r>
    </w:p>
    <w:p>
      <w:pPr>
        <w:pStyle w:val="Normal"/>
        <w:spacing w:lineRule="auto" w:line="360"/>
        <w:ind w:firstLine="708"/>
        <w:jc w:val="both"/>
        <w:rPr>
          <w:rFonts w:ascii="Arial" w:hAnsi="Arial" w:cs="Arial"/>
        </w:rPr>
      </w:pPr>
      <w:r>
        <w:rPr>
          <w:rFonts w:cs="Arial" w:ascii="Arial" w:hAnsi="Arial"/>
        </w:rPr>
      </w:r>
    </w:p>
    <w:p>
      <w:pPr>
        <w:pStyle w:val="Caption"/>
        <w:rPr/>
      </w:pPr>
      <w:bookmarkStart w:id="13" w:name="_Toc211275263"/>
      <w:r>
        <w:rPr/>
        <w:t xml:space="preserve">Wykres </w:t>
      </w:r>
      <w:r>
        <w:rPr/>
        <w:fldChar w:fldCharType="begin"/>
      </w:r>
      <w:r>
        <w:rPr/>
        <w:instrText xml:space="preserve"> SEQ Wykres \* ARABIC </w:instrText>
      </w:r>
      <w:r>
        <w:rPr/>
        <w:fldChar w:fldCharType="separate"/>
      </w:r>
      <w:r>
        <w:rPr/>
        <w:t>3</w:t>
      </w:r>
      <w:r>
        <w:rPr/>
        <w:fldChar w:fldCharType="end"/>
      </w:r>
      <w:r>
        <w:rPr/>
        <w:t>. Piramidy wieku mieszkańców Gminy Bychawa 2024 rok – zróżnicowanie wewnątrz gminne</w:t>
      </w:r>
      <w:bookmarkEnd w:id="13"/>
    </w:p>
    <w:p>
      <w:pPr>
        <w:pStyle w:val="Normal"/>
        <w:spacing w:lineRule="auto" w:line="360"/>
        <w:jc w:val="both"/>
        <w:rPr>
          <w:rFonts w:ascii="Arial" w:hAnsi="Arial" w:cs="Arial"/>
        </w:rPr>
      </w:pPr>
      <w:r>
        <w:rPr/>
        <w:drawing>
          <wp:inline distT="0" distB="0" distL="0" distR="0">
            <wp:extent cx="5753100" cy="2362200"/>
            <wp:effectExtent l="0" t="0" r="0" b="0"/>
            <wp:docPr id="4"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
                    <pic:cNvPicPr>
                      <a:picLocks noChangeAspect="1" noChangeArrowheads="1"/>
                    </pic:cNvPicPr>
                  </pic:nvPicPr>
                  <pic:blipFill>
                    <a:blip r:embed="rId7"/>
                    <a:stretch>
                      <a:fillRect/>
                    </a:stretch>
                  </pic:blipFill>
                  <pic:spPr bwMode="auto">
                    <a:xfrm>
                      <a:off x="0" y="0"/>
                      <a:ext cx="5753100" cy="2362200"/>
                    </a:xfrm>
                    <a:prstGeom prst="rect">
                      <a:avLst/>
                    </a:prstGeom>
                    <a:noFill/>
                  </pic:spPr>
                </pic:pic>
              </a:graphicData>
            </a:graphic>
          </wp:inline>
        </w:drawing>
      </w:r>
    </w:p>
    <w:p>
      <w:pPr>
        <w:pStyle w:val="Caption"/>
        <w:rPr/>
      </w:pPr>
      <w:r>
        <w:rPr/>
        <w:t xml:space="preserve">Źródło: Opracowanie własne na podstawie danych Banku Danych Lokalnych Głównego Urzędu Statystycznego, www.stat.gov.pl </w:t>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t>Pokazana wizualizacja potwierdza wcześniejsze wnioski: na wsi populacja jest liczniejsza we wszystkich grupach wiekowych, zwłaszcza w przedziałach 25–44 lata oraz 65+. Widać również szerszą podstawę piramidy na wsi, co wskazuje na relatywnie większą liczbę dzieci, choć wciąż jest ona mniejsza niż górne przedziały wiekowe. W mieście piramida ma kształt bardziej smukły, a różnice pomiędzy grupami wiekowymi są mniejsze – wskazuje to na bardziej równomierną, ale też mniej dynamiczną strukturę demograficzną. Szczególnie widoczny jest węższy „rdzeń” populacji w wieku produkcyjnym w mieście oraz mniejszy udział osób powyżej 65. roku życia w porównaniu do wsi.</w:t>
      </w:r>
    </w:p>
    <w:p>
      <w:pPr>
        <w:pStyle w:val="Normal"/>
        <w:spacing w:lineRule="auto" w:line="360"/>
        <w:ind w:firstLine="708"/>
        <w:jc w:val="both"/>
        <w:rPr>
          <w:rFonts w:ascii="Arial" w:hAnsi="Arial" w:cs="Arial"/>
        </w:rPr>
      </w:pPr>
      <w:r>
        <w:rPr>
          <w:rFonts w:cs="Arial" w:ascii="Arial" w:hAnsi="Arial"/>
        </w:rPr>
        <w:t>Na podstawie dostępnych danych o liczbie ludności w gminie Bychawa w latach 2014–2024 oraz piramidach wieku można pośrednio wyciągnąć wnioski o saldzie migracji. Saldo migracji zamieszkałej ludności Gminy Bychawa w analizowanym okresie od 2014 do 2024 roku charakteryzuje się stałą, ujemną wartością, co wskazuje na przewagę liczby osób opuszczających gminę nad liczbą osób się do niej wprowadzających. Wartość całkowitego salda migracji na 1000 ludności wahała się od –7,98 w 2019 roku do 0,00 w 2015 roku. Szczególnie niekorzystny wynik odnotowano w roku 2019, który stanowił apogeum negatywnego trendu, podczas gdy rok 2015 był jedynym, w którym saldo migracji ogółem osiągnęło stan równowagi. w latach następujących po 2019 obserwuje się stopniową, aczkolwiek niewielką, poprawę tego wskaźnika, przy czym wartości dla lat 2022 (–5,63), 2023 (–5,12) i 2024 (–4,71) nadal pozostają na poziomie świadczącym o trwającym procesie wyludniania.</w:t>
      </w:r>
    </w:p>
    <w:p>
      <w:pPr>
        <w:pStyle w:val="Normal"/>
        <w:spacing w:lineRule="auto" w:line="360"/>
        <w:ind w:firstLine="708"/>
        <w:jc w:val="both"/>
        <w:rPr>
          <w:rFonts w:ascii="Arial" w:hAnsi="Arial" w:cs="Arial"/>
        </w:rPr>
      </w:pPr>
      <w:r>
        <w:rPr>
          <w:rFonts w:cs="Arial" w:ascii="Arial" w:hAnsi="Arial"/>
        </w:rPr>
        <w:t xml:space="preserve">Analiza wartości składowych, obrazujących zjawisko migracji pozwala na identyfikację głównych źródeł omawianego zjawiska. Migracje wewnętrzne, czyli przepływy ludności w obrębie kraju, przez cały okres pozostawały ujemne, co oznacza, że Gmina Bychawa systematycznie traciła mieszkańców na rzecz innych jednostek osadniczych w Polsce. Wartość tego salda wahała się, osiągając najniższy punkt </w:t>
        <w:br/>
        <w:t>w 2019 roku (–6,9), a stosunkowo najłagodniejszy w 2024 roku (–3,2).</w:t>
      </w:r>
    </w:p>
    <w:p>
      <w:pPr>
        <w:pStyle w:val="ds-markdown-paragraph"/>
        <w:spacing w:lineRule="auto" w:line="360" w:before="280" w:after="280"/>
        <w:ind w:firstLine="708"/>
        <w:jc w:val="both"/>
        <w:rPr>
          <w:rFonts w:ascii="Arial" w:hAnsi="Arial" w:cs="Arial"/>
        </w:rPr>
      </w:pPr>
      <w:r>
        <w:rPr>
          <w:rFonts w:cs="Arial" w:ascii="Arial" w:hAnsi="Arial"/>
        </w:rPr>
      </w:r>
      <w:r>
        <w:br w:type="page"/>
      </w:r>
    </w:p>
    <w:p>
      <w:pPr>
        <w:pStyle w:val="Caption"/>
        <w:spacing w:before="0" w:after="200"/>
        <w:rPr/>
      </w:pPr>
      <w:bookmarkStart w:id="14" w:name="_Toc211275264"/>
      <w:r>
        <w:rPr/>
        <w:t xml:space="preserve">Wykres </w:t>
      </w:r>
      <w:r>
        <w:rPr/>
        <w:fldChar w:fldCharType="begin"/>
      </w:r>
      <w:r>
        <w:rPr/>
        <w:instrText xml:space="preserve"> SEQ Wykres \* ARABIC </w:instrText>
      </w:r>
      <w:r>
        <w:rPr/>
        <w:fldChar w:fldCharType="separate"/>
      </w:r>
      <w:r>
        <w:rPr/>
        <w:t>4</w:t>
      </w:r>
      <w:r>
        <w:rPr/>
        <w:fldChar w:fldCharType="end"/>
      </w:r>
      <w:r>
        <w:rPr/>
        <w:t>. Saldo migracji mieszkańców Gminy Bychawa</w:t>
      </w:r>
      <w:bookmarkEnd w:id="14"/>
    </w:p>
    <w:p>
      <w:pPr>
        <w:pStyle w:val="Normal"/>
        <w:spacing w:lineRule="auto" w:line="360"/>
        <w:jc w:val="both"/>
        <w:rPr>
          <w:rFonts w:ascii="Arial" w:hAnsi="Arial" w:cs="Arial"/>
        </w:rPr>
      </w:pPr>
      <w:r>
        <w:rPr/>
        <w:drawing>
          <wp:inline distT="0" distB="0" distL="0" distR="0">
            <wp:extent cx="5810250" cy="2533650"/>
            <wp:effectExtent l="0" t="0" r="0" b="0"/>
            <wp:docPr id="5" name="Wykres 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Caption"/>
        <w:rPr/>
      </w:pPr>
      <w:r>
        <w:rPr/>
        <w:t xml:space="preserve">Źródło: Opracowanie własne na podstawie danych Banku Danych Lokalnych Głównego Urzędu Statystycznego, www.stat.gov.pl </w:t>
      </w:r>
    </w:p>
    <w:p>
      <w:pPr>
        <w:pStyle w:val="ds-markdown-paragraph"/>
        <w:spacing w:lineRule="auto" w:line="360" w:before="280" w:after="280"/>
        <w:ind w:firstLine="708"/>
        <w:jc w:val="both"/>
        <w:rPr>
          <w:rFonts w:ascii="Arial" w:hAnsi="Arial" w:cs="Arial"/>
        </w:rPr>
      </w:pPr>
      <w:r>
        <w:rPr>
          <w:rFonts w:cs="Arial" w:ascii="Arial" w:hAnsi="Arial"/>
        </w:rPr>
        <w:t>Migracje zagraniczne, choć generujące mniejsze bezwzględne wartości salda niż migracje wewnętrzne, również w zdecydowanej większości lat miały charakter ujemny. Oznacza to, że liczba osób emigrujących z gminy za granicę przewyższała liczbę imigrantów z innych krajów. w latach 2015 i 2016 saldo migracji zagranicznych wyniosło 0,00, co wskazuje na chwilową równowagę w tym zakresie. Najbardziej niekorzystne pod tym względem okazały się lata 2024 (–1,48) oraz 2021 (–1,35).</w:t>
      </w:r>
    </w:p>
    <w:p>
      <w:pPr>
        <w:pStyle w:val="ds-markdown-paragraph"/>
        <w:spacing w:lineRule="auto" w:line="360" w:before="280" w:after="280"/>
        <w:ind w:firstLine="708"/>
        <w:jc w:val="both"/>
        <w:rPr>
          <w:rFonts w:ascii="Arial" w:hAnsi="Arial" w:cs="Arial"/>
        </w:rPr>
      </w:pPr>
      <w:r>
        <w:rPr>
          <w:rFonts w:cs="Arial" w:ascii="Arial" w:hAnsi="Arial"/>
        </w:rPr>
        <w:t xml:space="preserve">Podsumowując, struktura salda migracji wskazuje, że za proces utraty mieszkańców Gminy Bychawa w większym stopniu odpowiadają migracje wewnętrzne niż zagraniczne. Stały, ujemny bilans tych przepływów świadczy o niedostatecznej atrakcyjności osadniczej i/lub społeczno-gospodarczej gminy w porównaniu z innymi regionami kraju, co skutkuje odpływem jej mieszkańców. Aby przeciwdziałać tym niepokojącym trendom, niezbędne jest wdrożenie kompleksowej i długofalowej strategii, koncentrującej się na poprawie warunków życia, tworzeniu nowych miejsc pracy oraz wzmocnieniu oferty kulturalnej, edukacyjnej i usługowej, co mogłoby przyczynić się do zatrzymania ludności oraz przyciągnięcia nowych mieszkańców. </w:t>
      </w:r>
      <w:r>
        <w:br w:type="page"/>
      </w:r>
    </w:p>
    <w:p>
      <w:pPr>
        <w:pStyle w:val="Heading3"/>
        <w:numPr>
          <w:ilvl w:val="2"/>
          <w:numId w:val="1"/>
        </w:numPr>
        <w:spacing w:before="0" w:after="80"/>
        <w:jc w:val="both"/>
        <w:rPr>
          <w:rFonts w:ascii="Arial" w:hAnsi="Arial" w:cs="Arial"/>
          <w:b/>
          <w:bCs/>
          <w:color w:val="00204F"/>
        </w:rPr>
      </w:pPr>
      <w:bookmarkStart w:id="15" w:name="_Toc211356339"/>
      <w:r>
        <w:rPr>
          <w:rFonts w:cs="Arial" w:ascii="Arial" w:hAnsi="Arial"/>
          <w:b/>
          <w:bCs/>
          <w:color w:val="00204F"/>
        </w:rPr>
        <w:t>Sytuacja mieszkaniowa mieszkańców Gminy Bychawa</w:t>
      </w:r>
      <w:bookmarkEnd w:id="15"/>
    </w:p>
    <w:p>
      <w:pPr>
        <w:pStyle w:val="ds-markdown-paragraph"/>
        <w:spacing w:lineRule="auto" w:line="360" w:before="280" w:after="280"/>
        <w:ind w:firstLine="708"/>
        <w:jc w:val="both"/>
        <w:rPr>
          <w:rFonts w:ascii="Arial" w:hAnsi="Arial" w:cs="Arial"/>
        </w:rPr>
      </w:pPr>
      <w:r>
        <w:rPr>
          <w:rFonts w:cs="Arial" w:ascii="Arial" w:hAnsi="Arial"/>
        </w:rPr>
        <w:t>W analizie warunków społecznych mieszkańców Gminy Bychawa zwrócono też uwagę na sytuację mieszkaniową. Stanowi ona kluczowy wyznacznik jakości życia oraz jest jednym z fundamentalnych obszarów interwencji w ramach polityki społecznej. Precyzyjna diagnoza oparta na wiarygodnych wskaźnikach, takich jak liczba osób przypadających na jedną izbę, pozwala na identyfikację grup dotkniętych problemem przeludnienia i stanowi punkt wyjścia do konstruowania skutecznych strategii zaradczych. Dane dla badanej populacji według spisu ludności za rok 2021 ukazują złożony i zróżnicowany obraz warunków bytowych.</w:t>
      </w:r>
    </w:p>
    <w:p>
      <w:pPr>
        <w:pStyle w:val="Caption"/>
        <w:rPr/>
      </w:pPr>
      <w:bookmarkStart w:id="16" w:name="_Toc211275265"/>
      <w:r>
        <w:rPr/>
        <w:t xml:space="preserve">Wykres </w:t>
      </w:r>
      <w:r>
        <w:rPr/>
        <w:fldChar w:fldCharType="begin"/>
      </w:r>
      <w:r>
        <w:rPr/>
        <w:instrText xml:space="preserve"> SEQ Wykres \* ARABIC </w:instrText>
      </w:r>
      <w:r>
        <w:rPr/>
        <w:fldChar w:fldCharType="separate"/>
      </w:r>
      <w:r>
        <w:rPr/>
        <w:t>5</w:t>
      </w:r>
      <w:r>
        <w:rPr/>
        <w:fldChar w:fldCharType="end"/>
      </w:r>
      <w:r>
        <w:rPr/>
        <w:t>.   Liczba mieszkań w podziale na liczbę osób zamieszkujących mieszkania w Gminie Bychawa</w:t>
      </w:r>
      <w:bookmarkEnd w:id="16"/>
    </w:p>
    <w:p>
      <w:pPr>
        <w:pStyle w:val="Normal"/>
        <w:spacing w:lineRule="auto" w:line="360"/>
        <w:jc w:val="both"/>
        <w:rPr>
          <w:rFonts w:ascii="Arial" w:hAnsi="Arial" w:cs="Arial"/>
          <w:i/>
          <w:i/>
          <w:iCs/>
          <w:sz w:val="20"/>
          <w:szCs w:val="20"/>
        </w:rPr>
      </w:pPr>
      <w:r>
        <w:rPr/>
        <w:drawing>
          <wp:inline distT="0" distB="0" distL="0" distR="0">
            <wp:extent cx="5705475" cy="3152775"/>
            <wp:effectExtent l="0" t="0" r="0" b="0"/>
            <wp:docPr id="6" name="Wykres 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Normal"/>
        <w:spacing w:lineRule="auto" w:line="360"/>
        <w:jc w:val="both"/>
        <w:rPr>
          <w:rFonts w:ascii="Arial" w:hAnsi="Arial" w:cs="Arial"/>
        </w:rPr>
      </w:pPr>
      <w:r>
        <w:rPr>
          <w:rFonts w:cs="Arial" w:ascii="Arial" w:hAnsi="Arial"/>
          <w:i/>
          <w:iCs/>
          <w:sz w:val="20"/>
          <w:szCs w:val="20"/>
        </w:rPr>
        <w:t>Źródło: Opracowanie własne na podstawie danych Banku Danych Lokalnych Głównego Urzędu Statystycznego, www.stat.gov.pl , dane ze Spisu Powszechnego 2021</w:t>
      </w:r>
    </w:p>
    <w:p>
      <w:pPr>
        <w:pStyle w:val="ds-markdown-paragraph"/>
        <w:spacing w:lineRule="auto" w:line="360" w:before="280" w:after="280"/>
        <w:ind w:firstLine="708"/>
        <w:jc w:val="both"/>
        <w:rPr>
          <w:rFonts w:ascii="Arial" w:hAnsi="Arial" w:cs="Arial"/>
        </w:rPr>
      </w:pPr>
      <w:r>
        <w:rPr>
          <w:rFonts w:cs="Arial" w:ascii="Arial" w:hAnsi="Arial"/>
        </w:rPr>
        <w:t xml:space="preserve">Analiza rozkładu gospodarstw domowych według wskaźnika zagęszczenia pozwala wyodrębnić trzy zasadnicze grupy charakteryzujące się odmienną sytuacją. Pierwszą grupę, obejmującą łącznie 62,3% wszystkich gospodarstw (2 145), tworzą jednostki o warunkach mieszkaniowych uznawanych za co najmniej poprawne (wskaźnik ≤ 1,0 os./izbę). w jej ramach znajduje się 23,7% gospodarstw (815) </w:t>
        <w:br/>
        <w:t xml:space="preserve">o bardzo dobrym standardzie (poniżej 0,5 os./izbę) oraz 38,6% (1 325) o warunkach dobrych (0,5–0,99 os./izbę). </w:t>
      </w:r>
    </w:p>
    <w:p>
      <w:pPr>
        <w:pStyle w:val="ds-markdown-paragraph"/>
        <w:spacing w:lineRule="auto" w:line="360" w:before="280" w:after="280"/>
        <w:ind w:firstLine="708"/>
        <w:jc w:val="both"/>
        <w:rPr>
          <w:rFonts w:ascii="Arial" w:hAnsi="Arial" w:cs="Arial"/>
        </w:rPr>
      </w:pPr>
      <w:r>
        <w:rPr>
          <w:rFonts w:cs="Arial" w:ascii="Arial" w:hAnsi="Arial"/>
        </w:rPr>
        <w:t>Druga, licząca 14,1% (485) gospodarstw grupa, reprezentuje stan równowagi, gdzie wskaźnik wynosi dokładnie 1,0 osobę na izbę, co uznaje się często za minimalną normę społeczną.</w:t>
      </w:r>
    </w:p>
    <w:p>
      <w:pPr>
        <w:pStyle w:val="ds-markdown-paragraph"/>
        <w:spacing w:lineRule="auto" w:line="360" w:before="280" w:after="280"/>
        <w:ind w:firstLine="708"/>
        <w:jc w:val="both"/>
        <w:rPr>
          <w:rFonts w:ascii="Arial" w:hAnsi="Arial" w:cs="Arial"/>
        </w:rPr>
      </w:pPr>
      <w:r>
        <w:rPr>
          <w:rFonts w:cs="Arial" w:ascii="Arial" w:hAnsi="Arial"/>
        </w:rPr>
        <w:t xml:space="preserve">Trzecią i najbardziej newralgiczną z punktu widzenia polityki społecznej grupę stanowią gospodarstwa doświadczające przeludnienia (&gt;1,0 os./izbę), które łącznie obejmują 23,6% (811) badanej populacji. Grupę tę cechuje istotne zróżnicowanie nasilenia problemu. Niewielkie przeludnienie (1,01–1,49 os./izbę) dotyczy 9,0% gospodarstw (311), umiarkowane (1,50–1,99 os./izbę) – 7,0% (239), zaś znaczne </w:t>
        <w:br/>
        <w:t>i skrajne przeludnienie (≥2,00 os./izbę) – 7,6% (262) gospodarstw. To właśnie te ostatnie podgrupy, łącznie obejmujące 14,6% wszystkich jednostek, znajdują się w sytuacji wymagającej najpilniejszej i najbardziej skoordynowanej interwencji, jako  że warunki bytowe w tym zakresie wiążą się z wysokim ryzykiem negatywnych konsekwencji dla zdrowia, rozwoju dzieci, edukacji i spójności społecznej.</w:t>
      </w:r>
    </w:p>
    <w:p>
      <w:pPr>
        <w:pStyle w:val="ds-markdown-paragraph"/>
        <w:spacing w:lineRule="auto" w:line="360" w:before="280" w:after="280"/>
        <w:ind w:firstLine="708"/>
        <w:jc w:val="both"/>
        <w:rPr>
          <w:rFonts w:ascii="Arial" w:hAnsi="Arial" w:cs="Arial"/>
        </w:rPr>
      </w:pPr>
      <w:r>
        <w:rPr>
          <w:rFonts w:cs="Arial" w:ascii="Arial" w:hAnsi="Arial"/>
        </w:rPr>
        <w:t xml:space="preserve">W kontekście tych ustaleń, rozwiązywanie problemu społecznego, jakim jest zła sytuacja mieszkaniowa, musi być wielowymiarowa i targetować specyficzne potrzeby zidentyfikowanych grup. Działania winny być ukierunkowane nie tylko na zwiększenie podaży mieszkań, ale także na wsparcie grup najbardziej wrażliwych. </w:t>
      </w:r>
    </w:p>
    <w:p>
      <w:pPr>
        <w:pStyle w:val="ds-markdown-paragraph"/>
        <w:spacing w:lineRule="auto" w:line="360" w:before="280" w:after="280"/>
        <w:ind w:firstLine="708"/>
        <w:jc w:val="both"/>
        <w:rPr>
          <w:rFonts w:ascii="Arial" w:hAnsi="Arial" w:cs="Arial"/>
        </w:rPr>
      </w:pPr>
      <w:r>
        <w:rPr>
          <w:rFonts w:cs="Arial" w:ascii="Arial" w:hAnsi="Arial"/>
        </w:rPr>
        <w:t xml:space="preserve">Pierwszym filarem strategii powinno być </w:t>
      </w:r>
      <w:r>
        <w:rPr>
          <w:rStyle w:val="Strong"/>
          <w:rFonts w:eastAsia="" w:cs="Arial" w:ascii="Arial" w:hAnsi="Arial" w:eastAsiaTheme="majorEastAsia"/>
          <w:b w:val="false"/>
          <w:bCs w:val="false"/>
        </w:rPr>
        <w:t>wzmocnienie budownictwa społecznego oraz komunalnego</w:t>
      </w:r>
      <w:r>
        <w:rPr>
          <w:rFonts w:cs="Arial" w:ascii="Arial" w:hAnsi="Arial"/>
        </w:rPr>
        <w:t xml:space="preserve">, skoncentrowane na tworzeniu zasobów mieszkaniowych o  przystępnych kosztach, dedykowanych szczególnie gospodarstwom domowym o najwyższym wskaźniku zagęszczenia. Po drugie, niezbędne jest wdrożenie </w:t>
      </w:r>
      <w:r>
        <w:rPr>
          <w:rStyle w:val="Strong"/>
          <w:rFonts w:eastAsia="" w:cs="Arial" w:ascii="Arial" w:hAnsi="Arial" w:eastAsiaTheme="majorEastAsia"/>
          <w:b w:val="false"/>
          <w:bCs w:val="false"/>
        </w:rPr>
        <w:t>instrumentów wsparcia celowego</w:t>
      </w:r>
      <w:r>
        <w:rPr>
          <w:rFonts w:cs="Arial" w:ascii="Arial" w:hAnsi="Arial"/>
        </w:rPr>
        <w:t xml:space="preserve">, takich jak dopłaty do czynszu lub kredytów hipotecznych, skierowanych do rodzin wielodzietnych i osób o niskich dochodach, które są dysproporcjonalnie narażone na przeludnienie. Po trzecie, istotnym elementem może być </w:t>
      </w:r>
      <w:r>
        <w:rPr>
          <w:rStyle w:val="Strong"/>
          <w:rFonts w:eastAsia="" w:cs="Arial" w:ascii="Arial" w:hAnsi="Arial" w:eastAsiaTheme="majorEastAsia"/>
          <w:b w:val="false"/>
          <w:bCs w:val="false"/>
        </w:rPr>
        <w:t>modernizacja i adaptacja istniejących zasobów mieszkaniowych</w:t>
      </w:r>
      <w:r>
        <w:rPr>
          <w:rFonts w:cs="Arial" w:ascii="Arial" w:hAnsi="Arial"/>
        </w:rPr>
        <w:t>, mająca na celu zwiększenie ich funkcjonalności i liczby użytkowych izb. Finalnie, działania winny być uzupełnione o </w:t>
      </w:r>
      <w:r>
        <w:rPr>
          <w:rStyle w:val="Strong"/>
          <w:rFonts w:eastAsia="" w:cs="Arial" w:ascii="Arial" w:hAnsi="Arial" w:eastAsiaTheme="majorEastAsia"/>
          <w:b w:val="false"/>
          <w:bCs w:val="false"/>
        </w:rPr>
        <w:t>edukację i doradztwo</w:t>
      </w:r>
      <w:r>
        <w:rPr>
          <w:rFonts w:cs="Arial" w:ascii="Arial" w:hAnsi="Arial"/>
        </w:rPr>
        <w:t xml:space="preserve"> w zakresie racjonalnego gospodarowania przestrzenią mieszkalną oraz praw najemcy. </w:t>
      </w:r>
    </w:p>
    <w:p>
      <w:pPr>
        <w:pStyle w:val="ds-markdown-paragraph"/>
        <w:spacing w:lineRule="auto" w:line="360" w:before="280" w:after="280"/>
        <w:ind w:firstLine="708"/>
        <w:jc w:val="both"/>
        <w:rPr>
          <w:rFonts w:ascii="Arial" w:hAnsi="Arial" w:cs="Arial"/>
        </w:rPr>
      </w:pPr>
      <w:r>
        <w:rPr>
          <w:rFonts w:cs="Arial" w:ascii="Arial" w:hAnsi="Arial"/>
        </w:rPr>
        <w:t>Taka kompleksowa strategia, łącząca interwencje po stronie podaży i popytu, ma potencjał skutecznej poprawy warunków bytowych i przeciwdziałania wykluczeniu mieszkaniowemu.</w:t>
      </w:r>
    </w:p>
    <w:p>
      <w:pPr>
        <w:pStyle w:val="ds-markdown-paragraph"/>
        <w:spacing w:lineRule="auto" w:line="360" w:before="280" w:after="280"/>
        <w:ind w:firstLine="708"/>
        <w:jc w:val="both"/>
        <w:rPr>
          <w:rFonts w:ascii="Arial" w:hAnsi="Arial" w:cs="Arial"/>
        </w:rPr>
      </w:pPr>
      <w:r>
        <w:rPr>
          <w:rFonts w:cs="Arial" w:ascii="Arial" w:hAnsi="Arial"/>
        </w:rPr>
        <w:t>Sytuacja mieszkaniowa, a w szczególności stan techniczny budynków, stanowi istotny wyznacznik jakości życia mieszkańców oraz jest przedmiotem zainteresowania lokalnej polityki społecznej. Dane Narodowego Spisu Powszechnego z 2021 roku ukazują strukturę wieku zasobów mieszkaniowych Bychawy, która odzwierciedla historyczne uwarunkowania rozwoju miejscowości i wskazuje na pilne potrzeby inwestycyjne w zakresie modernizacji i rewitalizacji.</w:t>
      </w:r>
    </w:p>
    <w:p>
      <w:pPr>
        <w:pStyle w:val="Caption"/>
        <w:rPr/>
      </w:pPr>
      <w:bookmarkStart w:id="17" w:name="_Toc211275266"/>
      <w:r>
        <w:rPr/>
        <w:t xml:space="preserve">Wykres </w:t>
      </w:r>
      <w:r>
        <w:rPr/>
        <w:fldChar w:fldCharType="begin"/>
      </w:r>
      <w:r>
        <w:rPr/>
        <w:instrText xml:space="preserve"> SEQ Wykres \* ARABIC </w:instrText>
      </w:r>
      <w:r>
        <w:rPr/>
        <w:fldChar w:fldCharType="separate"/>
      </w:r>
      <w:r>
        <w:rPr/>
        <w:t>6</w:t>
      </w:r>
      <w:r>
        <w:rPr/>
        <w:fldChar w:fldCharType="end"/>
      </w:r>
      <w:r>
        <w:rPr/>
        <w:t>. Liczba mieszkań wg roku wybudowania</w:t>
      </w:r>
      <w:bookmarkEnd w:id="17"/>
    </w:p>
    <w:p>
      <w:pPr>
        <w:pStyle w:val="Normal"/>
        <w:spacing w:lineRule="auto" w:line="360"/>
        <w:jc w:val="both"/>
        <w:rPr>
          <w:rFonts w:ascii="Arial" w:hAnsi="Arial" w:cs="Arial"/>
        </w:rPr>
      </w:pPr>
      <w:r>
        <w:rPr/>
        <w:drawing>
          <wp:inline distT="0" distB="0" distL="0" distR="0">
            <wp:extent cx="5781675" cy="3438525"/>
            <wp:effectExtent l="0" t="0" r="0" b="0"/>
            <wp:docPr id="7" name="Wykres 7"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spacing w:lineRule="auto" w:line="360"/>
        <w:jc w:val="both"/>
        <w:rPr>
          <w:rFonts w:ascii="Arial" w:hAnsi="Arial" w:cs="Arial"/>
          <w:i/>
          <w:i/>
          <w:iCs/>
          <w:sz w:val="20"/>
          <w:szCs w:val="20"/>
        </w:rPr>
      </w:pPr>
      <w:r>
        <w:rPr>
          <w:rFonts w:cs="Arial" w:ascii="Arial" w:hAnsi="Arial"/>
          <w:i/>
          <w:iCs/>
          <w:sz w:val="20"/>
          <w:szCs w:val="20"/>
        </w:rPr>
        <w:t xml:space="preserve">Źródło: Opracowanie własne na podstawie danych Banku Danych Lokalnych Głównego Urzędu Statystycznego, </w:t>
      </w:r>
      <w:hyperlink r:id="rId11">
        <w:r>
          <w:rPr>
            <w:rStyle w:val="Hyperlink"/>
            <w:rFonts w:cs="Arial" w:ascii="Arial" w:hAnsi="Arial"/>
            <w:i/>
            <w:iCs/>
            <w:color w:themeColor="accent1" w:val="4A66AC"/>
            <w:sz w:val="20"/>
            <w:szCs w:val="20"/>
          </w:rPr>
          <w:t>www.stat.gov.pl</w:t>
        </w:r>
      </w:hyperlink>
      <w:r>
        <w:rPr>
          <w:rFonts w:cs="Arial" w:ascii="Arial" w:hAnsi="Arial"/>
          <w:i/>
          <w:iCs/>
          <w:sz w:val="20"/>
          <w:szCs w:val="20"/>
        </w:rPr>
        <w:t>,  dane ze Spisu Powszechnego 2021</w:t>
      </w:r>
    </w:p>
    <w:p>
      <w:pPr>
        <w:pStyle w:val="ds-markdown-paragraph"/>
        <w:spacing w:lineRule="auto" w:line="360" w:before="280" w:after="280"/>
        <w:ind w:firstLine="708"/>
        <w:jc w:val="both"/>
        <w:rPr>
          <w:rFonts w:ascii="Arial" w:hAnsi="Arial" w:cs="Arial"/>
        </w:rPr>
      </w:pPr>
      <w:r>
        <w:rPr>
          <w:rFonts w:cs="Arial" w:ascii="Arial" w:hAnsi="Arial"/>
        </w:rPr>
        <w:t>Zasoby mieszkaniowe Gminy Bychawa charakteryzują się znaczącym udziałem budynków starszych, co przekłada się na wyzwania związane z ich stanem technicznym i standardem użytkowym. Aż 37,4% (1 275) wszystkich mieszkań zamieszkanych zlokalizowanych jest w budynkach wzniesionych przed 1971 rokiem, przy czym najliczniejszą grupę – stanowiącą niemal jedną trzecią (30,9%) zasobów</w:t>
        <w:br/>
        <w:t>– tworzą budynki z lat 1945–1970. Obiekty te, ze względu na zaawansowany wiek, technologię budowy oraz zużycie materiałów, często wymagają kompleksowych prac remontowych, w szczególności w zakresie poprawy efektywności energetycznej, wymiany instalacji (elektrycznych, sanitarnych, grzewczych) oraz wzmocnienia konstrukcji. Kolejne 27% (919) mieszkań znajduje się w budynkach z lat 1971–1990, które również – pomimo stosunkowo krótszego okresu użytkowania – mogą wykazywać deficyty w zakresie izolacyjności cieplnej i akustycznej oraz posiadać przestarzałe systemy techniczne. Stosunkowo niewielki udział (10%) budownictwa najnowszego (po 2000 roku) ogranicza pulę zasobów o wysokim standardzie i niskich kosztach eksploatacji.</w:t>
      </w:r>
    </w:p>
    <w:p>
      <w:pPr>
        <w:pStyle w:val="Normal"/>
        <w:spacing w:lineRule="auto" w:line="360"/>
        <w:ind w:firstLine="708"/>
        <w:jc w:val="both"/>
        <w:rPr>
          <w:rFonts w:ascii="Arial" w:hAnsi="Arial" w:cs="Arial"/>
        </w:rPr>
      </w:pPr>
      <w:r>
        <w:rPr>
          <w:rFonts w:cs="Arial" w:ascii="Arial" w:hAnsi="Arial"/>
        </w:rPr>
        <w:t xml:space="preserve">Taka struktura wieku zasobów mieszkaniowych generuje szereg konsekwencji o charakterze społecznym. Niska efektywność energetyczna starszych budynków bezpośrednio przyczynia się do wysokich kosztów utrzymania mieszkań, co </w:t>
        <w:br/>
        <w:t>w połączeniu z niskimi dochodami części gospodarstw domowych skutkuje zjawiskiem ubóstwa energetycznego. Nieodpowiedni stan techniczny (wilgoć, zagrzybienie, niska temperatura) negatywnie wpływa na zdrowie fizyczne i psychiczne mieszkańców, obniża komfort życia oraz może ograniczać rozwój dzieci i młodzieży. Ponadto, wizerunek zaniedbanych, starszych budynków oddziałuje na postrzeganie atrakcyjności inwestycyjnej i wizerunkowej całej gminy, potencjalnie utrudniając przyciąganie nowych mieszkańców i inwestorów.</w:t>
      </w:r>
    </w:p>
    <w:p>
      <w:pPr>
        <w:pStyle w:val="Normal"/>
        <w:spacing w:lineRule="auto" w:line="360"/>
        <w:ind w:firstLine="708"/>
        <w:jc w:val="both"/>
        <w:rPr>
          <w:rFonts w:ascii="Arial" w:hAnsi="Arial" w:cs="Arial"/>
        </w:rPr>
      </w:pPr>
      <w:r>
        <w:rPr>
          <w:rFonts w:cs="Arial" w:ascii="Arial" w:hAnsi="Arial"/>
        </w:rPr>
        <w:t xml:space="preserve">W kontekście powyższego, celami w zakresie polityki mieszkaniowej, społecznej i usługowej Gminy Bychawa powinny być: poprawa stanu technicznego </w:t>
        <w:br/>
        <w:t xml:space="preserve">i standardu istniejących zasobów mieszkaniowych, zmniejszenie obciążenia kosztami energii dla gospodarstw domowych oraz przeciwdziałanie wykluczeniu mieszkaniowemu. Realizacja tych celów wymaga podjęcia skoordynowanych działań interwencyjnych. Konieczne jest opracowanie i wdrożenie programu koncentrującego się na wsparciu termomodernizacji, wymiany źródeł ciepła i remontów kapitalnych </w:t>
        <w:br/>
        <w:t>w budynkach z okresu 1945–1990, które łącznie stanowią blisko 58% zasobów. Działania modernizacyjne mogą być uzupełnione o </w:t>
      </w:r>
      <w:r>
        <w:rPr>
          <w:rStyle w:val="Strong"/>
          <w:rFonts w:cs="Arial" w:ascii="Arial" w:hAnsi="Arial"/>
          <w:b w:val="false"/>
          <w:bCs w:val="false"/>
        </w:rPr>
        <w:t>lokalny system wsparcia doradczego</w:t>
      </w:r>
      <w:r>
        <w:rPr>
          <w:rStyle w:val="Strong"/>
          <w:rFonts w:eastAsia="" w:cs="Arial" w:ascii="Arial" w:hAnsi="Arial" w:eastAsiaTheme="majorEastAsia"/>
          <w:b w:val="false"/>
          <w:bCs w:val="false"/>
        </w:rPr>
        <w:t xml:space="preserve"> i usługowego</w:t>
      </w:r>
      <w:r>
        <w:rPr>
          <w:rFonts w:cs="Arial" w:ascii="Arial" w:hAnsi="Arial"/>
        </w:rPr>
        <w:t xml:space="preserve"> dla właścicieli mieszkań i wspólnot mieszkaniowych, ułatwiający dostęp do informacji o dostępnym dofinansowaniu i najlepszych praktykach remontowych. Taka kompleksowa strategia działania, łącząca interwencję inwestycyjną z miękkim wsparciem nieinwestycyjnym jest niezbędna dla trwałej poprawy warunków mieszkaniowych, podniesienia jakości życia mieszkańców oraz zrównoważonego rozwoju społeczno-gospodarczego gminy.</w:t>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rPr/>
      </w:pPr>
      <w:r>
        <w:rPr/>
      </w:r>
    </w:p>
    <w:p>
      <w:pPr>
        <w:pStyle w:val="Heading3"/>
        <w:numPr>
          <w:ilvl w:val="2"/>
          <w:numId w:val="1"/>
        </w:numPr>
        <w:jc w:val="both"/>
        <w:rPr>
          <w:rFonts w:ascii="Arial" w:hAnsi="Arial" w:eastAsia="Times New Roman" w:cs="Arial"/>
          <w:b/>
          <w:bCs/>
          <w:color w:val="00204F"/>
          <w:kern w:val="0"/>
          <w:lang w:eastAsia="pl-PL"/>
          <w14:ligatures w14:val="none"/>
        </w:rPr>
      </w:pPr>
      <w:bookmarkStart w:id="18" w:name="_Toc211356340"/>
      <w:r>
        <w:rPr>
          <w:rStyle w:val="Nagwek3Znak"/>
          <w:rFonts w:cs="Arial" w:ascii="Arial" w:hAnsi="Arial"/>
          <w:b/>
          <w:bCs/>
          <w:color w:val="00204F"/>
        </w:rPr>
        <w:t>Sytuacja mieszkańców Gminy Bychawa w  obszarze zatrudnienia i bezrobocia</w:t>
      </w:r>
      <w:bookmarkEnd w:id="18"/>
      <w:r>
        <w:rPr>
          <w:rFonts w:eastAsia="Times New Roman" w:cs="Arial" w:ascii="Arial" w:hAnsi="Arial"/>
          <w:b/>
          <w:bCs/>
          <w:color w:val="00204F"/>
          <w:kern w:val="0"/>
          <w:lang w:eastAsia="pl-PL"/>
          <w14:ligatures w14:val="none"/>
        </w:rPr>
        <w:t xml:space="preserve"> </w:t>
      </w:r>
    </w:p>
    <w:p>
      <w:pPr>
        <w:pStyle w:val="Normal"/>
        <w:rPr>
          <w:lang w:eastAsia="pl-PL"/>
        </w:rPr>
      </w:pPr>
      <w:r>
        <w:rPr>
          <w:lang w:eastAsia="pl-PL"/>
        </w:rPr>
      </w:r>
    </w:p>
    <w:p>
      <w:pPr>
        <w:pStyle w:val="Normal"/>
        <w:spacing w:lineRule="auto" w:line="360" w:before="0" w:after="240"/>
        <w:ind w:firstLine="708"/>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W Gminie Bychawa na 1000 mieszkańców pracuje 125 osób. Wśród pracujących ogółem 56,6% stanowią kobiety, a 43,4% mężczyźni. w 2021 roku (brak danych aktualnych) przeciętne miesięczne wynagrodzenie brutto w Gminie Bychawa wynosiło 4 615,93 PLN, co odpowiadało 76,9% przeciętnego miesięcznego wynagrodzenia brutto w Polsce. </w:t>
      </w:r>
    </w:p>
    <w:p>
      <w:pPr>
        <w:pStyle w:val="Normal"/>
        <w:spacing w:lineRule="auto" w:line="360" w:before="0" w:after="240"/>
        <w:ind w:firstLine="708"/>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Wśród aktywnych zawodowo mieszkańców gminy Bychawa 647 osób wyjeżdża do pracy do innych gmin, a 346 pracujących przyjeżdża do pracy spoza gminy - tak więc saldo przyjazdów i wyjazdów do pracy wynosi -301. Najwięcej tj. 60,6% aktywnych zawodowo mieszkańców Gminy Bychawa pracuje w sektorze rolniczym (rolnictwo, leśnictwo, łowiectwo i rybactwo), 12,7% w przemyśle i budownictwie, </w:t>
        <w:br/>
        <w:t>a 10,5% w sektorze usługowym (handel, naprawa pojazdów, transport, zakwaterowanie i gastronomia, informacja i komunikacja). Nieliczna grupa tj. 0,9% pracuje w sektorze finansowym (działalność finansowa i ubezpieczeniowa, obsługa rynku nieruchomości itp.).</w:t>
      </w:r>
    </w:p>
    <w:p>
      <w:pPr>
        <w:pStyle w:val="ds-markdown-paragraph"/>
        <w:spacing w:lineRule="auto" w:line="360" w:before="280" w:after="280"/>
        <w:ind w:firstLine="708"/>
        <w:jc w:val="both"/>
        <w:rPr>
          <w:rFonts w:ascii="Arial" w:hAnsi="Arial" w:cs="Arial"/>
        </w:rPr>
      </w:pPr>
      <w:r>
        <w:rPr>
          <w:rFonts w:cs="Arial" w:ascii="Arial" w:hAnsi="Arial"/>
        </w:rPr>
        <w:t xml:space="preserve">W 2024 roku bezrobocie rejestrowane w gminie Bychawa wynosiło 6,2% (7,0% wśród kobiet i 5,5% wśród mężczyzn). Rejestrowane bezrobocie stanowi jeden </w:t>
        <w:br/>
        <w:t xml:space="preserve">z najistotniejszych wskaźników kondycji lokalnego rynku pracy oraz jest bezpośrednim determinantem problemów społecznych, takich jak ubóstwo, wykluczenie społeczne czy niski poziom bezpieczeństwa ekonomicznego gospodarstw domowych. Analiza danych z lat 2014–2024 ukazuje wyraźną, długoterminową tendencję spadkową liczby osób w Gminie Bychawa prezentujących status osób bezrobotnych zarejestrowanych w urzędzie pracy, co świadczy o ogólnej poprawie sytuacji na lokalnym rynku pracy. </w:t>
      </w:r>
    </w:p>
    <w:p>
      <w:pPr>
        <w:pStyle w:val="ds-markdown-paragraph"/>
        <w:spacing w:lineRule="auto" w:line="360" w:before="280" w:after="280"/>
        <w:ind w:firstLine="708"/>
        <w:jc w:val="both"/>
        <w:rPr>
          <w:rFonts w:ascii="Arial" w:hAnsi="Arial" w:cs="Arial"/>
        </w:rPr>
      </w:pPr>
      <w:r>
        <w:rPr>
          <w:rFonts w:cs="Arial" w:ascii="Arial" w:hAnsi="Arial"/>
        </w:rPr>
        <w:t>Pomimo tej pozytywnej tendencji, utrzymujące się bezrobocie, zwłaszcza wśród grup szczególnego ryzyka, oraz jego struktura wiekowa i czasowa pozostają istotnym wyzwaniem dla polityki społecznej i aktywizacji zawodowej.</w:t>
      </w:r>
    </w:p>
    <w:p>
      <w:pPr>
        <w:pStyle w:val="Caption"/>
        <w:rPr>
          <w:i w:val="false"/>
          <w:i w:val="false"/>
          <w:iCs w:val="false"/>
        </w:rPr>
      </w:pPr>
      <w:bookmarkStart w:id="19" w:name="_Toc211275267"/>
      <w:r>
        <w:rPr/>
        <w:t xml:space="preserve">Wykres </w:t>
      </w:r>
      <w:r>
        <w:rPr/>
        <w:fldChar w:fldCharType="begin"/>
      </w:r>
      <w:r>
        <w:rPr/>
        <w:instrText xml:space="preserve"> SEQ Wykres \* ARABIC </w:instrText>
      </w:r>
      <w:r>
        <w:rPr/>
        <w:fldChar w:fldCharType="separate"/>
      </w:r>
      <w:r>
        <w:rPr/>
        <w:t>7</w:t>
      </w:r>
      <w:r>
        <w:rPr/>
        <w:fldChar w:fldCharType="end"/>
      </w:r>
      <w:r>
        <w:rPr/>
        <w:t>. Bezrobotni mieszkańcy Gminy Bychawa zarejestrowani w Urzędzie Pracy w latach 2014-2024 (stan na 31 grudnia każdego roku)</w:t>
      </w:r>
      <w:bookmarkEnd w:id="19"/>
      <w:r>
        <w:rPr/>
        <w:t xml:space="preserve">  </w:t>
      </w:r>
    </w:p>
    <w:p>
      <w:pPr>
        <w:pStyle w:val="Normal"/>
        <w:spacing w:lineRule="auto" w:line="360"/>
        <w:jc w:val="both"/>
        <w:rPr>
          <w:rFonts w:ascii="Arial" w:hAnsi="Arial" w:cs="Arial"/>
          <w:lang w:eastAsia="pl-PL"/>
        </w:rPr>
      </w:pPr>
      <w:r>
        <w:rPr/>
        <w:drawing>
          <wp:inline distT="0" distB="0" distL="0" distR="0">
            <wp:extent cx="5760720" cy="2902585"/>
            <wp:effectExtent l="0" t="0" r="0" b="0"/>
            <wp:docPr id="8" name="Wykres 9"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spacing w:lineRule="auto" w:line="360"/>
        <w:jc w:val="both"/>
        <w:rPr>
          <w:rFonts w:ascii="Arial" w:hAnsi="Arial" w:cs="Arial"/>
          <w:i/>
          <w:i/>
          <w:iCs/>
          <w:sz w:val="20"/>
          <w:szCs w:val="20"/>
        </w:rPr>
      </w:pPr>
      <w:r>
        <w:rPr>
          <w:rFonts w:cs="Arial" w:ascii="Arial" w:hAnsi="Arial"/>
          <w:i/>
          <w:iCs/>
          <w:sz w:val="20"/>
          <w:szCs w:val="20"/>
        </w:rPr>
        <w:t>Źródło: Opracowanie własne na podstawie danych Banku Danych Lokalnych Głównego Urzędu Statystycznego</w:t>
      </w:r>
      <w:r>
        <w:rPr>
          <w:rFonts w:cs="Arial" w:ascii="Arial" w:hAnsi="Arial"/>
          <w:i/>
          <w:iCs/>
          <w:color w:themeColor="accent1" w:val="4A66AC"/>
          <w:sz w:val="20"/>
          <w:szCs w:val="20"/>
        </w:rPr>
        <w:t xml:space="preserve">, </w:t>
      </w:r>
      <w:hyperlink r:id="rId13">
        <w:r>
          <w:rPr>
            <w:rStyle w:val="Hyperlink"/>
            <w:rFonts w:cs="Arial" w:ascii="Arial" w:hAnsi="Arial"/>
            <w:i/>
            <w:iCs/>
            <w:color w:themeColor="accent1" w:val="4A66AC"/>
            <w:sz w:val="20"/>
            <w:szCs w:val="20"/>
          </w:rPr>
          <w:t>www.stat.gov.pl</w:t>
        </w:r>
      </w:hyperlink>
      <w:r>
        <w:rPr>
          <w:rFonts w:cs="Arial" w:ascii="Arial" w:hAnsi="Arial"/>
          <w:i/>
          <w:iCs/>
          <w:color w:themeColor="accent1" w:val="4A66AC"/>
          <w:sz w:val="20"/>
          <w:szCs w:val="20"/>
        </w:rPr>
        <w:t xml:space="preserve">,  </w:t>
      </w:r>
      <w:r>
        <w:rPr>
          <w:rFonts w:cs="Arial" w:ascii="Arial" w:hAnsi="Arial"/>
          <w:i/>
          <w:iCs/>
          <w:sz w:val="20"/>
          <w:szCs w:val="20"/>
        </w:rPr>
        <w:t>dane ze Spisu Powszechnego 2021</w:t>
      </w:r>
    </w:p>
    <w:p>
      <w:pPr>
        <w:pStyle w:val="ds-markdown-paragraph"/>
        <w:spacing w:lineRule="auto" w:line="360" w:before="280" w:after="280"/>
        <w:ind w:firstLine="708"/>
        <w:jc w:val="both"/>
        <w:rPr>
          <w:rFonts w:ascii="Arial" w:hAnsi="Arial" w:cs="Arial"/>
        </w:rPr>
      </w:pPr>
      <w:r>
        <w:rPr>
          <w:rFonts w:cs="Arial" w:ascii="Arial" w:hAnsi="Arial"/>
        </w:rPr>
        <w:t>W analizowanym okresie liczba zarejestrowanych bezrobotnych ogółem zmniejszyła się z 613 osób w 2014 roku do 231 osób w 2024 roku, co oznacza spadek o blisko 62%. Trend spadkowy był stosunkowo stabilny do roku 2019, osiągając wówczas najniższy poziom (295 osób). Lata 2020–2021, pomimo globalnego wstrząsu wywołanego pandemią COVID-19, nie przyniosły w gminie gwałtownego wzrostu bezrobocia, a jedynie jego niewielkie wahanie (326 osób w 2020), po którym nastąpiło dalsze obniżanie się liczby osób bezrobotnych. Może to świadczyć o względnej odporności lokalnej gospodarki na zewnętrzne szoki lub o skuteczności instrumentów rynku pracy włączonych w okresie pandemii. Niemniej, ostatni odnotowany rok (2024) przyniósł nieznaczny wzrost liczby bezrobotnych (o 6 osób w porównaniu z 2023 rokiem), co może sygnalizować nowe wyzwania lub zmianę trendu.</w:t>
      </w:r>
    </w:p>
    <w:p>
      <w:pPr>
        <w:pStyle w:val="ds-markdown-paragraph"/>
        <w:spacing w:lineRule="auto" w:line="360" w:before="280" w:after="280"/>
        <w:ind w:firstLine="708"/>
        <w:jc w:val="both"/>
        <w:rPr>
          <w:rFonts w:ascii="Arial" w:hAnsi="Arial" w:cs="Arial"/>
        </w:rPr>
      </w:pPr>
      <w:r>
        <w:rPr>
          <w:rFonts w:cs="Arial" w:ascii="Arial" w:hAnsi="Arial"/>
        </w:rPr>
        <w:t xml:space="preserve">Struktura bezrobocia według płci wskazuje na systematyczną przewagę liczby bezrobotnych mężczyzn nad liczbą bezrobotnych kobiet, przy czym różnica ta </w:t>
        <w:br/>
        <w:t>w ostatnich latach uległa zmniejszeniu. w 2014 roku mężczyźni stanowili 57,6% ogółu zarejestrowanych, podczas gdy w 2024 roku – 50,6%. Spadek bezrobocia wśród mężczyzn był bardziej dynamiczny (spadek o 67%) niż wśród kobiet (spadek o 56%), co może wynikać ze specyfiki lokalnego rynku pracy i zmian w strukturze zatrudnienia.</w:t>
      </w:r>
    </w:p>
    <w:p>
      <w:pPr>
        <w:pStyle w:val="ds-markdown-paragraph"/>
        <w:spacing w:lineRule="auto" w:line="360" w:before="280" w:after="280"/>
        <w:ind w:firstLine="708"/>
        <w:jc w:val="both"/>
        <w:rPr>
          <w:rFonts w:ascii="Arial" w:hAnsi="Arial" w:cs="Arial"/>
        </w:rPr>
      </w:pPr>
      <w:r>
        <w:rPr>
          <w:rFonts w:cs="Arial" w:ascii="Arial" w:hAnsi="Arial"/>
        </w:rPr>
        <w:t>Szczególnie niepokojącym zjawiskiem, pomimo ogólnej poprawy, pozostaje sytuacja osób młodych. W grupie wiekowej do 25. roku życia odnotowano wprawdzie znaczący spadek liczby bezrobotnych (z 157 w 2014 do 53 w 2024), jednak w ostatnich latach (2022–2024) widoczny jest wyraźny trend wzrostowy (z 37 w 2021 do 53 w 2024). Podobnie, w szerszej kategorii wiekowej do 30. roku życia, po znaczącej poprawie w latach 2016–2021, liczba bezrobotnych utrzymuje się na stabilnym, lecz wciąż znaczącym poziomie (80 osób w 2024). Zjawisko to wskazuje na utrzymujące się trudności we wchodzeniu na rynek pracy osób kończących edukację, co może wynikać z niedopasowania kompetencji do potrzeb pracodawców lub ograniczonej oferty staży i miejsc pracy dla początkujących.</w:t>
      </w:r>
    </w:p>
    <w:p>
      <w:pPr>
        <w:pStyle w:val="ds-markdown-paragraph"/>
        <w:spacing w:lineRule="auto" w:line="360" w:before="280" w:after="280"/>
        <w:ind w:firstLine="708"/>
        <w:jc w:val="both"/>
        <w:rPr>
          <w:rFonts w:ascii="Arial" w:hAnsi="Arial" w:cs="Arial"/>
        </w:rPr>
      </w:pPr>
      <w:r>
        <w:rPr>
          <w:rFonts w:cs="Arial" w:ascii="Arial" w:hAnsi="Arial"/>
        </w:rPr>
        <w:t>Kluczowym problemem społecznym jest również utrzymujące się bezrobocie długotrwałe. Mimo że liczba osób pozostających bez pracy przez ponad 12 miesięcy systematycznie spada (z 399 w 2014 do 110 w 2024), to w 2024 roku grupa ta nadal stanowiła aż 47,6% wszystkich zarejestrowanych bezrobotnych. Oznacza to, że niemal co druga osoba bez pracy znajduje się w tej sytuacji od co najmniej roku. Długotrwałe bezrobocie wiąże się z procesem dezaktualizacji kwalifikacji, utratą motywacji oraz pogłębianiem się problemów społecznych i zdrowotnych, co radykalnie utrudnia powrót na rynek pracy.</w:t>
      </w:r>
    </w:p>
    <w:p>
      <w:pPr>
        <w:pStyle w:val="ds-markdown-paragraph"/>
        <w:spacing w:lineRule="auto" w:line="360" w:before="280" w:after="280"/>
        <w:ind w:firstLine="708"/>
        <w:jc w:val="both"/>
        <w:rPr>
          <w:rFonts w:ascii="Arial" w:hAnsi="Arial" w:cs="Arial"/>
        </w:rPr>
      </w:pPr>
      <w:r>
        <w:rPr>
          <w:rFonts w:cs="Arial" w:ascii="Arial" w:hAnsi="Arial"/>
        </w:rPr>
        <w:t>W kontekście powyższej diagnozy, strategicznymi celami w zakresie polityki rynku pracy i rozwiązywania problemów społecznych Gminy Bychawa powinny być: dalsza redukcja skali bezrobocia, ze szczególnym uwzględnieniem grup najbardziej narażonych – ludzi młodych oraz osób długotrwale bezrobotnych. Konieczne jest wdrożenie zindywidualizowanych i kompleksowych programów aktywizacji zawodowej, łączących szkolenia podnoszące kompetencje z rzeczywistymi potrzebami lokalnych pracodawców, wsparcie pośrednictwa pracy oraz promocję przedsiębiorczości. Działania te powinny być uzupełnione o miękkie formy wsparcia, takie jak poradnictwo zawodowe, coaching czy warsztaty umiejętności miękkich, skierowane szczególnie do osób zagrożonych wykluczeniem społecznym.</w:t>
      </w:r>
    </w:p>
    <w:p>
      <w:pPr>
        <w:pStyle w:val="ds-markdown-paragraph"/>
        <w:spacing w:lineRule="auto" w:line="360" w:before="280" w:after="280"/>
        <w:ind w:firstLine="708"/>
        <w:jc w:val="both"/>
        <w:rPr>
          <w:rFonts w:ascii="Arial" w:hAnsi="Arial" w:cs="Arial"/>
        </w:rPr>
      </w:pPr>
      <w:r>
        <w:rPr>
          <w:rFonts w:cs="Arial" w:ascii="Arial" w:hAnsi="Arial"/>
        </w:rPr>
        <w:t xml:space="preserve">Skuteczna walka z bezrobociem wymaga ścisłej współpracy między samorządem, publicznymi służbami zatrudnienia, sektorem prywatnym oraz organizacjami pozarządowymi. W kontekście organizacji usług społecznych obszar bezrobocia może stanowić ważną przestrzeń do organizacji usług dla osób bezrobotnych i pozostających bez pracy. </w:t>
      </w:r>
    </w:p>
    <w:p>
      <w:pPr>
        <w:pStyle w:val="ds-markdown-paragraph"/>
        <w:spacing w:lineRule="auto" w:line="360" w:before="280" w:after="280"/>
        <w:ind w:firstLine="708"/>
        <w:jc w:val="both"/>
        <w:rPr>
          <w:rFonts w:ascii="Arial" w:hAnsi="Arial" w:cs="Arial"/>
        </w:rPr>
      </w:pPr>
      <w:r>
        <w:rPr>
          <w:rFonts w:cs="Arial" w:ascii="Arial" w:hAnsi="Arial"/>
        </w:rPr>
      </w:r>
      <w:r>
        <w:br w:type="page"/>
      </w:r>
    </w:p>
    <w:p>
      <w:pPr>
        <w:pStyle w:val="Heading3"/>
        <w:numPr>
          <w:ilvl w:val="2"/>
          <w:numId w:val="1"/>
        </w:numPr>
        <w:spacing w:before="0" w:after="80"/>
        <w:jc w:val="both"/>
        <w:rPr>
          <w:rFonts w:ascii="Arial" w:hAnsi="Arial" w:cs="Arial"/>
          <w:b/>
          <w:bCs/>
          <w:color w:val="00204F"/>
        </w:rPr>
      </w:pPr>
      <w:bookmarkStart w:id="20" w:name="_Toc211356341"/>
      <w:r>
        <w:rPr>
          <w:rFonts w:cs="Arial" w:ascii="Arial" w:hAnsi="Arial"/>
          <w:b/>
          <w:bCs/>
          <w:color w:val="00204F"/>
        </w:rPr>
        <w:t>Sytuacja mieszkańców Gminy Bychawa według poziomu zaspokojenia najpilniejszych potrzeb życiowych</w:t>
      </w:r>
      <w:bookmarkEnd w:id="20"/>
    </w:p>
    <w:p>
      <w:pPr>
        <w:pStyle w:val="Normal"/>
        <w:spacing w:lineRule="auto" w:line="360"/>
        <w:ind w:firstLine="708"/>
        <w:jc w:val="both"/>
        <w:rPr>
          <w:rFonts w:ascii="Arial" w:hAnsi="Arial" w:cs="Arial"/>
        </w:rPr>
      </w:pPr>
      <w:r>
        <w:rPr>
          <w:rFonts w:cs="Arial" w:ascii="Arial" w:hAnsi="Arial"/>
        </w:rPr>
        <w:t>Jednym z wyznaczników poziomu zaspokajania najpilniejszych potrzeb życiowych może być analiza korzystania mieszkańców Gminy Bychawa ze środowiskowej pomocy społecznej. Poziom zaspokojenia potrzeb życiowych stanowi istotny wskaźnik kondycji ekonomicznej gospodarstw domowych oraz skuteczności lokalnej polityki społecznej. Dane statystyczne za lata 2014–2024 obrazują dynamikę liczby gospodarstw domowych w Gminie Bychawa otrzymujących wsparcie, zarówno poniżej, jak i powyżej ustawowego kryterium dochodowego, co pozwala na identyfikację trendów i wyzwań w zakresie walki z ubóstwem i wykluczeniem społecznym.</w:t>
      </w:r>
    </w:p>
    <w:p>
      <w:pPr>
        <w:pStyle w:val="Normal"/>
        <w:spacing w:lineRule="auto" w:line="360"/>
        <w:ind w:firstLine="708"/>
        <w:jc w:val="both"/>
        <w:rPr>
          <w:rFonts w:ascii="Arial" w:hAnsi="Arial" w:cs="Arial"/>
        </w:rPr>
      </w:pPr>
      <w:r>
        <w:rPr>
          <w:rFonts w:cs="Arial" w:ascii="Arial" w:hAnsi="Arial"/>
        </w:rPr>
      </w:r>
    </w:p>
    <w:p>
      <w:pPr>
        <w:pStyle w:val="Caption"/>
        <w:rPr/>
      </w:pPr>
      <w:bookmarkStart w:id="21" w:name="_Toc211275268"/>
      <w:r>
        <w:rPr/>
        <w:t xml:space="preserve">Wykres </w:t>
      </w:r>
      <w:r>
        <w:rPr/>
        <w:fldChar w:fldCharType="begin"/>
      </w:r>
      <w:r>
        <w:rPr/>
        <w:instrText xml:space="preserve"> SEQ Wykres \* ARABIC </w:instrText>
      </w:r>
      <w:r>
        <w:rPr/>
        <w:fldChar w:fldCharType="separate"/>
      </w:r>
      <w:r>
        <w:rPr/>
        <w:t>8</w:t>
      </w:r>
      <w:r>
        <w:rPr/>
        <w:fldChar w:fldCharType="end"/>
      </w:r>
      <w:r>
        <w:rPr/>
        <w:t>. Gospodarstwa domowe korzystające ze środowiskowej pomocy społecznej według kryterium dochodowego na terenie Gminy Bychawa w latach 2014-2024</w:t>
      </w:r>
      <w:bookmarkEnd w:id="21"/>
      <w:r>
        <w:rPr/>
        <w:t xml:space="preserve"> </w:t>
      </w:r>
    </w:p>
    <w:p>
      <w:pPr>
        <w:pStyle w:val="Normal"/>
        <w:spacing w:lineRule="auto" w:line="360"/>
        <w:jc w:val="both"/>
        <w:rPr>
          <w:rFonts w:ascii="Arial" w:hAnsi="Arial" w:cs="Arial"/>
        </w:rPr>
      </w:pPr>
      <w:r>
        <w:rPr/>
        <w:drawing>
          <wp:inline distT="0" distB="0" distL="0" distR="0">
            <wp:extent cx="5760720" cy="2486025"/>
            <wp:effectExtent l="0" t="0" r="0" b="0"/>
            <wp:docPr id="9" name="Wykres 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Normal"/>
        <w:spacing w:lineRule="auto" w:line="360"/>
        <w:jc w:val="both"/>
        <w:rPr>
          <w:rFonts w:ascii="Arial" w:hAnsi="Arial" w:cs="Arial"/>
        </w:rPr>
      </w:pPr>
      <w:r>
        <w:rPr>
          <w:rFonts w:cs="Arial" w:ascii="Arial" w:hAnsi="Arial"/>
          <w:i/>
          <w:iCs/>
          <w:sz w:val="20"/>
          <w:szCs w:val="20"/>
        </w:rPr>
        <w:t>Źródło: Opracowanie własne na podstawie danych Banku Danych Lokalnych Głównego Urzędu Statystycznego, www.stat.gov.pl</w:t>
      </w:r>
    </w:p>
    <w:p>
      <w:pPr>
        <w:pStyle w:val="ds-markdown-paragraph"/>
        <w:spacing w:lineRule="auto" w:line="360" w:before="280" w:after="280"/>
        <w:ind w:firstLine="708"/>
        <w:jc w:val="both"/>
        <w:rPr>
          <w:rFonts w:ascii="Arial" w:hAnsi="Arial" w:cs="Arial"/>
        </w:rPr>
      </w:pPr>
      <w:r>
        <w:rPr>
          <w:rFonts w:cs="Arial" w:ascii="Arial" w:hAnsi="Arial"/>
        </w:rPr>
        <w:t xml:space="preserve">W analizowanym okresie zaobserwować można ogólną tendencję spadkową liczby gospodarstw domowych korzystających z pomocy społecznej poniżej kryterium dochodowego, choć trend ten nie był liniowy i odnotowano pewne wahania. W roku 2014 z pomocy tej korzystało 190 gospodarstw, podczas gdy w 2023 roku liczba </w:t>
        <w:br/>
        <w:t xml:space="preserve">ta wyniosła 123, co oznacza spadek o blisko 35%. Najniższy poziom odnotowano </w:t>
        <w:br/>
        <w:t>w roku 2019 (116 gospodarstw), po którym nastąpił wzrost w latach pandemii (2020–2022), by ponownie osiągnąć niższy poziom w roku 2023. Wahania te, szczególnie wzrost w latach 2020–2022, mogą odzwierciedlać negatywne skutki gospodarcze pandemii COVID-19 oraz inflacji, które tymczasowo pogorszyły sytuację materialną części mieszkańców, zwiększając zapotrzebowanie na wsparcie pomimo ogólnej poprawy trendu długoterminowego.</w:t>
      </w:r>
    </w:p>
    <w:p>
      <w:pPr>
        <w:pStyle w:val="ds-markdown-paragraph"/>
        <w:spacing w:lineRule="auto" w:line="360" w:before="280" w:after="280"/>
        <w:ind w:firstLine="708"/>
        <w:jc w:val="both"/>
        <w:rPr>
          <w:rFonts w:ascii="Arial" w:hAnsi="Arial" w:cs="Arial"/>
        </w:rPr>
      </w:pPr>
      <w:r>
        <w:rPr>
          <w:rFonts w:cs="Arial" w:ascii="Arial" w:hAnsi="Arial"/>
        </w:rPr>
        <w:t>Znacznie bardziej wyraźny i konsekwentny trend spadkowy charakteryzuje natomiast liczbę gospodarstw otrzymujących pomoc powyżej kryterium dochodowego. w roku 2014 z tej formy wsparcia korzystało 86 gospodarstw, podczas gdy w 2023 roku – jedynie 40, co oznacza redukcję o ponad 53%. Szczególnie gwałtowny spadek nastąpił w latach 2021–2022. Tendencja ta sugeruje, że w badanym okresie nastąpiła stopniowa koncentracja systemu wsparcia na gospodarstwach domowych znajdujących się w najtrudniejszej sytuacji materialnej (tj. tych spełniających kryterium dochodowe), przy jednoczesnym ograniczaniu pomocy dla gospodarstw o nieco wyższych dochodach, które mogły wymagać wsparcia z uwagi na inne, niekorzystne okoliczności życiowe.</w:t>
      </w:r>
    </w:p>
    <w:p>
      <w:pPr>
        <w:pStyle w:val="ds-markdown-paragraph"/>
        <w:spacing w:lineRule="auto" w:line="360" w:before="280" w:after="280"/>
        <w:ind w:firstLine="708"/>
        <w:jc w:val="both"/>
        <w:rPr>
          <w:rFonts w:ascii="Arial" w:hAnsi="Arial" w:cs="Arial"/>
        </w:rPr>
      </w:pPr>
      <w:r>
        <w:rPr>
          <w:rFonts w:cs="Arial" w:ascii="Arial" w:hAnsi="Arial"/>
        </w:rPr>
        <w:t>Pomimo obserwowanej poprawy, utrzymująca się – zwłaszcza w latach 2022</w:t>
        <w:br/>
        <w:t>–2023 – liczba gospodarstw domowych (około 120-140 rocznie) wymagających pomocy z powodu spełnienia kryterium dochodowego wskazuje, że problem ubóstwa i niskich dochodów w części społeczności gminy nadal pozostaje aktualny. Jednocześnie, drastyczny spadek liczby przypadków wsparcia udzielanego powyżej kryterium dochodowego może sygnalizować potencjalne wyzwanie w dostępie do pomocy dla gospodarstw znajdujących się w trudnej sytuacji życiowej (np. z powodu niepełnosprawności, przemocy, chorób), lecz dysponujących nieznacznie wyższymi dochodami.</w:t>
      </w:r>
    </w:p>
    <w:p>
      <w:pPr>
        <w:pStyle w:val="ds-markdown-paragraph"/>
        <w:spacing w:lineRule="auto" w:line="360" w:before="280" w:after="280"/>
        <w:ind w:firstLine="708"/>
        <w:jc w:val="both"/>
        <w:rPr>
          <w:rFonts w:ascii="Arial" w:hAnsi="Arial" w:cs="Arial"/>
        </w:rPr>
      </w:pPr>
      <w:r>
        <w:rPr>
          <w:rFonts w:cs="Arial" w:ascii="Arial" w:hAnsi="Arial"/>
        </w:rPr>
        <w:t>W kontekście powyższej diagnozy, strategicznymi celami polityki społecznej gminy powinny być: dalsza redukcja skali ubóstwa dochodowego, utrzymanie ukierunkowania pomocy na najbardziej potrzebujących, przy jednoczesnym zapewnieniu elastyczności systemu w reagowaniu na nagłe kryzysy oraz wsparciu dla gospodarstw dotkniętych problemami społecznymi, nawet jeśli ich dochody nieznacznie przekraczają kryterium. Realizacja tych celów wymagać będzie działań opartych na precyzyjnej diagnozie potrzeb, w tym wzmocnionej usługami społecznymi pracy socjalnej, pomocy sąsiedzkiej i środowiskowej, aktywizacji zawodowej oraz ścisłej współpracy jednostek organizacyjnych pomocy społecznej (w tym nowotworzonego Centrum Usług Społecznych) z innymi podmiotami (m.in. jednostkami ochrony zdrowia, organizacjami pozarządowymi itp.).</w:t>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ds-markdown-paragraph"/>
        <w:spacing w:lineRule="auto" w:line="360" w:before="280" w:after="280"/>
        <w:ind w:firstLine="708"/>
        <w:jc w:val="both"/>
        <w:rPr>
          <w:rFonts w:ascii="Arial" w:hAnsi="Arial" w:cs="Arial"/>
        </w:rPr>
      </w:pPr>
      <w:r>
        <w:rPr>
          <w:rFonts w:cs="Arial" w:ascii="Arial" w:hAnsi="Arial"/>
        </w:rPr>
      </w:r>
    </w:p>
    <w:p>
      <w:pPr>
        <w:pStyle w:val="Heading3"/>
        <w:numPr>
          <w:ilvl w:val="2"/>
          <w:numId w:val="1"/>
        </w:numPr>
        <w:jc w:val="both"/>
        <w:rPr>
          <w:rFonts w:ascii="Arial" w:hAnsi="Arial" w:eastAsia="Times New Roman" w:cs="Arial"/>
          <w:b/>
          <w:bCs/>
          <w:color w:val="00204F"/>
          <w:kern w:val="0"/>
          <w:lang w:eastAsia="pl-PL"/>
          <w14:ligatures w14:val="none"/>
        </w:rPr>
      </w:pPr>
      <w:bookmarkStart w:id="22" w:name="_Toc211356342"/>
      <w:r>
        <w:rPr>
          <w:rFonts w:cs="Arial" w:ascii="Arial" w:hAnsi="Arial"/>
          <w:b/>
          <w:bCs/>
          <w:color w:val="00204F"/>
        </w:rPr>
        <w:t>Sytuacja mieszkańców Gminy Bychawa</w:t>
      </w:r>
      <w:r>
        <w:rPr>
          <w:rFonts w:eastAsia="Times New Roman" w:cs="Arial" w:ascii="Arial" w:hAnsi="Arial"/>
          <w:b/>
          <w:bCs/>
          <w:color w:val="00204F"/>
          <w:kern w:val="0"/>
          <w:lang w:eastAsia="pl-PL"/>
          <w14:ligatures w14:val="none"/>
        </w:rPr>
        <w:t xml:space="preserve"> w obszarze edukacji </w:t>
      </w:r>
      <w:bookmarkEnd w:id="22"/>
    </w:p>
    <w:p>
      <w:pPr>
        <w:pStyle w:val="Normal"/>
        <w:spacing w:lineRule="auto" w:line="360" w:beforeAutospacing="1" w:afterAutospacing="1"/>
        <w:ind w:first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Struktura wykształcenia mieszkańców gminy Bychawa odzwierciedla zarówno rolniczo-miejski charakter regionu, jak i jego stopniową modernizację edukacyjną. Mieszkańcy w coraz większym stopniu podnoszą swoje kwalifikacje, jednak nadal zauważalne są różnice między miastem a obszarami wiejskimi.</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Według danych statystycznych (GUS, NSP 2021 oraz szacunków lokalnych), poziom wykształcenia mieszkańców kształtuje się następująco:</w:t>
      </w:r>
    </w:p>
    <w:p>
      <w:pPr>
        <w:pStyle w:val="Normal"/>
        <w:numPr>
          <w:ilvl w:val="0"/>
          <w:numId w:val="31"/>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Wykształcenie wyższe – ok. 14–16% mieszkańców (udział rośnie, zwłaszcza wśród osób młodych i kobiet, najczęściej kierunki humanistyczne, pedagogiczne i techniczne).</w:t>
      </w:r>
    </w:p>
    <w:p>
      <w:pPr>
        <w:pStyle w:val="Normal"/>
        <w:numPr>
          <w:ilvl w:val="0"/>
          <w:numId w:val="3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Średnie ogólnokształcące i zawodowe – ok. 35–38% populacji, jest to dominująca grupa w wieku produkcyjnym.</w:t>
      </w:r>
    </w:p>
    <w:p>
      <w:pPr>
        <w:pStyle w:val="Normal"/>
        <w:numPr>
          <w:ilvl w:val="0"/>
          <w:numId w:val="3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Zasadnicze zawodowe/ branżowe – ok. 25–30%, szczególnie wśród osób starszych i mieszkańców wsi.</w:t>
      </w:r>
    </w:p>
    <w:p>
      <w:pPr>
        <w:pStyle w:val="Normal"/>
        <w:numPr>
          <w:ilvl w:val="0"/>
          <w:numId w:val="3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Podstawowe lub gimnazjalne – ok. 15–18%, ten odsetek sukcesywnie maleje.</w:t>
      </w:r>
    </w:p>
    <w:p>
      <w:pPr>
        <w:pStyle w:val="Normal"/>
        <w:numPr>
          <w:ilvl w:val="0"/>
          <w:numId w:val="31"/>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Bez wykształcenia podstawowego lub nieukończone podstawowe  poniżej 2–3%, głównie wśród osób w wieku powyżej 60 lat.</w:t>
      </w:r>
    </w:p>
    <w:p>
      <w:pPr>
        <w:pStyle w:val="Normal"/>
        <w:numPr>
          <w:ilvl w:val="0"/>
          <w:numId w:val="0"/>
        </w:numPr>
        <w:spacing w:lineRule="auto" w:line="360" w:beforeAutospacing="1" w:afterAutospacing="1"/>
        <w:ind w:hanging="0" w:left="0"/>
        <w:jc w:val="both"/>
        <w:outlineLvl w:val="2"/>
        <w:rPr>
          <w:rFonts w:ascii="Arial" w:hAnsi="Arial" w:eastAsia="Times New Roman" w:cs="Arial"/>
          <w:kern w:val="0"/>
          <w:lang w:eastAsia="pl-PL"/>
          <w14:ligatures w14:val="none"/>
        </w:rPr>
      </w:pPr>
      <w:r>
        <w:rPr>
          <w:rFonts w:eastAsia="Times New Roman" w:cs="Arial" w:ascii="Arial" w:hAnsi="Arial"/>
          <w:kern w:val="0"/>
          <w:lang w:eastAsia="pl-PL"/>
          <w14:ligatures w14:val="none"/>
        </w:rPr>
        <w:t>Zróżnicowanie terytorialne</w:t>
      </w:r>
    </w:p>
    <w:p>
      <w:pPr>
        <w:pStyle w:val="Normal"/>
        <w:numPr>
          <w:ilvl w:val="0"/>
          <w:numId w:val="32"/>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Miasto Bychawa charakteryzuje się wyższym poziomem wykształcenia mieszkańców, co wynika z lepszej dostępności szkół, większej mobilności zawodowej i edukacyjnej oraz bliskości Lublina.</w:t>
      </w:r>
    </w:p>
    <w:p>
      <w:pPr>
        <w:pStyle w:val="Normal"/>
        <w:numPr>
          <w:ilvl w:val="0"/>
          <w:numId w:val="32"/>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Obszary wiejskie mają niższy udział osób z wykształceniem średnim i wyższym, co koreluje z ograniczonymi możliwościami kontynuacji nauki i mniejszą liczbą ofert pracy wymagających kwalifikacji specjalistycznych.</w:t>
      </w:r>
    </w:p>
    <w:p>
      <w:pPr>
        <w:pStyle w:val="Normal"/>
        <w:spacing w:lineRule="auto" w:line="360" w:beforeAutospacing="1" w:afterAutospacing="1"/>
        <w:ind w:left="360"/>
        <w:jc w:val="both"/>
        <w:rPr>
          <w:rFonts w:ascii="Arial" w:hAnsi="Arial" w:eastAsia="Times New Roman" w:cs="Arial"/>
          <w:kern w:val="0"/>
          <w:lang w:eastAsia="pl-PL"/>
          <w14:ligatures w14:val="none"/>
        </w:rPr>
      </w:pPr>
      <w:r>
        <w:rPr>
          <w:rFonts w:cs="Arial" w:ascii="Arial" w:hAnsi="Arial"/>
        </w:rPr>
        <w:t>Gmina Bychawa posiada dobrze rozwiniętą sieć placówek oświatowych, obejmującą zarówno instytucje prowadzone przez samorząd, jak i placówki niepubliczne. System edukacji jest zorganizowany w sposób umożliwiający zapewnienie dzieciom i młodzieży dostępu do edukacji na wszystkich podstawowych etapach nauki.</w:t>
      </w:r>
    </w:p>
    <w:p>
      <w:pPr>
        <w:pStyle w:val="Normal"/>
        <w:spacing w:lineRule="auto" w:line="360" w:beforeAutospacing="1" w:after="0"/>
        <w:ind w:left="360"/>
        <w:jc w:val="both"/>
        <w:rPr>
          <w:rFonts w:ascii="Arial" w:hAnsi="Arial" w:cs="Arial"/>
        </w:rPr>
      </w:pPr>
      <w:r>
        <w:rPr>
          <w:rFonts w:eastAsia="Times New Roman" w:cs="Arial" w:ascii="Arial" w:hAnsi="Arial"/>
          <w:kern w:val="0"/>
          <w:lang w:eastAsia="pl-PL"/>
          <w14:ligatures w14:val="none"/>
        </w:rPr>
        <w:t xml:space="preserve">Do </w:t>
      </w:r>
      <w:r>
        <w:rPr>
          <w:rFonts w:cs="Arial" w:ascii="Arial" w:hAnsi="Arial"/>
        </w:rPr>
        <w:t xml:space="preserve">placówek oświatowych prowadzonych przez Gminę Bychawa należą: </w:t>
      </w:r>
    </w:p>
    <w:p>
      <w:pPr>
        <w:pStyle w:val="ListParagraph"/>
        <w:numPr>
          <w:ilvl w:val="0"/>
          <w:numId w:val="34"/>
        </w:numPr>
        <w:spacing w:lineRule="auto" w:line="360" w:beforeAutospacing="1" w:after="0"/>
        <w:contextualSpacing/>
        <w:jc w:val="both"/>
        <w:rPr>
          <w:rFonts w:ascii="Arial" w:hAnsi="Arial" w:eastAsia="Times New Roman" w:cs="Arial"/>
          <w:kern w:val="0"/>
          <w:lang w:eastAsia="pl-PL"/>
          <w14:ligatures w14:val="none"/>
        </w:rPr>
      </w:pPr>
      <w:r>
        <w:rPr>
          <w:rFonts w:cs="Arial" w:ascii="Arial" w:hAnsi="Arial"/>
        </w:rPr>
        <w:t>Szkoła Podstawowa im. Polski Niepodległej w Bychawie;</w:t>
      </w:r>
    </w:p>
    <w:p>
      <w:pPr>
        <w:pStyle w:val="ListParagraph"/>
        <w:numPr>
          <w:ilvl w:val="0"/>
          <w:numId w:val="34"/>
        </w:numPr>
        <w:spacing w:lineRule="auto" w:line="360" w:before="0" w:after="0"/>
        <w:contextualSpacing/>
        <w:jc w:val="both"/>
        <w:rPr>
          <w:rFonts w:ascii="Arial" w:hAnsi="Arial" w:eastAsia="Times New Roman" w:cs="Arial"/>
          <w:kern w:val="0"/>
          <w:lang w:eastAsia="pl-PL"/>
          <w14:ligatures w14:val="none"/>
        </w:rPr>
      </w:pPr>
      <w:r>
        <w:rPr>
          <w:rFonts w:cs="Arial" w:ascii="Arial" w:hAnsi="Arial"/>
        </w:rPr>
        <w:t xml:space="preserve">Szkoła Podstawowa im. Kajetana Koźmiana w Bychawce; </w:t>
      </w:r>
    </w:p>
    <w:p>
      <w:pPr>
        <w:pStyle w:val="ListParagraph"/>
        <w:numPr>
          <w:ilvl w:val="0"/>
          <w:numId w:val="34"/>
        </w:numPr>
        <w:spacing w:lineRule="auto" w:line="360" w:before="0" w:after="0"/>
        <w:contextualSpacing/>
        <w:jc w:val="both"/>
        <w:rPr>
          <w:rFonts w:ascii="Arial" w:hAnsi="Arial" w:eastAsia="Times New Roman" w:cs="Arial"/>
          <w:kern w:val="0"/>
          <w:lang w:eastAsia="pl-PL"/>
          <w14:ligatures w14:val="none"/>
        </w:rPr>
      </w:pPr>
      <w:r>
        <w:rPr>
          <w:rFonts w:cs="Arial" w:ascii="Arial" w:hAnsi="Arial"/>
        </w:rPr>
        <w:t xml:space="preserve">Podstawowa im. Franciszka Lebiedy w Starej Wsi Drugiej; </w:t>
      </w:r>
    </w:p>
    <w:p>
      <w:pPr>
        <w:pStyle w:val="ListParagraph"/>
        <w:numPr>
          <w:ilvl w:val="0"/>
          <w:numId w:val="34"/>
        </w:numPr>
        <w:spacing w:lineRule="auto" w:line="360" w:before="0" w:after="0"/>
        <w:contextualSpacing/>
        <w:jc w:val="both"/>
        <w:rPr>
          <w:rFonts w:ascii="Arial" w:hAnsi="Arial" w:eastAsia="Times New Roman" w:cs="Arial"/>
          <w:kern w:val="0"/>
          <w:lang w:eastAsia="pl-PL"/>
          <w14:ligatures w14:val="none"/>
        </w:rPr>
      </w:pPr>
      <w:r>
        <w:rPr>
          <w:rFonts w:cs="Arial" w:ascii="Arial" w:hAnsi="Arial"/>
        </w:rPr>
        <w:t xml:space="preserve">Szkoła Podstawowa im. Zofii Przewłockiej w Woli Gałęzowskiej; </w:t>
      </w:r>
    </w:p>
    <w:p>
      <w:pPr>
        <w:pStyle w:val="ListParagraph"/>
        <w:numPr>
          <w:ilvl w:val="0"/>
          <w:numId w:val="34"/>
        </w:numPr>
        <w:spacing w:lineRule="auto" w:line="360" w:before="0" w:after="0"/>
        <w:contextualSpacing/>
        <w:jc w:val="both"/>
        <w:rPr>
          <w:rFonts w:ascii="Arial" w:hAnsi="Arial" w:eastAsia="Times New Roman" w:cs="Arial"/>
          <w:kern w:val="0"/>
          <w:lang w:eastAsia="pl-PL"/>
          <w14:ligatures w14:val="none"/>
        </w:rPr>
      </w:pPr>
      <w:r>
        <w:rPr>
          <w:rFonts w:cs="Arial" w:ascii="Arial" w:hAnsi="Arial"/>
        </w:rPr>
        <w:t>Samorządowe Przedszkole nr 1 w Bychawie;</w:t>
      </w:r>
    </w:p>
    <w:p>
      <w:pPr>
        <w:pStyle w:val="Normal"/>
        <w:spacing w:lineRule="auto" w:line="360" w:beforeAutospacing="1" w:after="0"/>
        <w:jc w:val="both"/>
        <w:rPr>
          <w:rFonts w:ascii="Arial" w:hAnsi="Arial" w:cs="Arial"/>
        </w:rPr>
      </w:pPr>
      <w:r>
        <w:rPr>
          <w:rFonts w:cs="Arial" w:ascii="Arial" w:hAnsi="Arial"/>
        </w:rPr>
        <w:t xml:space="preserve">      </w:t>
      </w:r>
      <w:r>
        <w:rPr>
          <w:rFonts w:cs="Arial" w:ascii="Arial" w:hAnsi="Arial"/>
        </w:rPr>
        <w:t xml:space="preserve">Placówki niepubliczne działające na terenie Gminy Bychawa to: </w:t>
      </w:r>
    </w:p>
    <w:p>
      <w:pPr>
        <w:pStyle w:val="ListParagraph"/>
        <w:numPr>
          <w:ilvl w:val="0"/>
          <w:numId w:val="36"/>
        </w:numPr>
        <w:shd w:val="clear" w:color="auto" w:fill="FFFFFF"/>
        <w:spacing w:lineRule="auto" w:line="360" w:before="240" w:after="240"/>
        <w:contextualSpacing/>
        <w:jc w:val="left"/>
        <w:outlineLvl w:val="2"/>
        <w:rPr>
          <w:rFonts w:ascii="Arial" w:hAnsi="Arial" w:eastAsia="Times New Roman" w:cs="Arial"/>
          <w:color w:val="222222"/>
          <w:kern w:val="0"/>
          <w:lang w:eastAsia="pl-PL"/>
          <w14:ligatures w14:val="none"/>
        </w:rPr>
      </w:pPr>
      <w:r>
        <w:rPr>
          <w:rFonts w:eastAsia="Times New Roman" w:cs="Arial" w:ascii="Arial" w:hAnsi="Arial"/>
          <w:color w:val="222222"/>
          <w:kern w:val="0"/>
          <w:lang w:eastAsia="pl-PL"/>
          <w14:ligatures w14:val="none"/>
        </w:rPr>
        <w:t>Szkoła Podstawowa im. ks. Dominika Maja w Zaraszowie;</w:t>
      </w:r>
    </w:p>
    <w:p>
      <w:pPr>
        <w:pStyle w:val="ListParagraph"/>
        <w:numPr>
          <w:ilvl w:val="0"/>
          <w:numId w:val="35"/>
        </w:numPr>
        <w:spacing w:lineRule="auto" w:line="360" w:beforeAutospacing="1"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Przedszkole Niepubliczne ,,Akademia Poziomkowa” w Bychawie;</w:t>
      </w:r>
    </w:p>
    <w:p>
      <w:pPr>
        <w:pStyle w:val="Normal"/>
        <w:spacing w:lineRule="auto" w:line="360" w:beforeAutospacing="1" w:after="0"/>
        <w:ind w:left="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Szkoły średnie prowadzone przez Powiat Lubelski, posiadające swoją siedzibę w Bychawie to: </w:t>
      </w:r>
    </w:p>
    <w:p>
      <w:pPr>
        <w:pStyle w:val="ListParagraph"/>
        <w:numPr>
          <w:ilvl w:val="0"/>
          <w:numId w:val="35"/>
        </w:numPr>
        <w:spacing w:lineRule="auto" w:line="360" w:beforeAutospacing="1"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Zespół Szkół im. ks. Antoniego Kwiatkowskiego w Bychawie;</w:t>
      </w:r>
    </w:p>
    <w:p>
      <w:pPr>
        <w:pStyle w:val="ListParagraph"/>
        <w:numPr>
          <w:ilvl w:val="0"/>
          <w:numId w:val="35"/>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Zespół Szkół Zawodowych Nr 1 im. mjr. Henryka Dobrzańskiego w Bychawie;</w:t>
      </w:r>
    </w:p>
    <w:p>
      <w:pPr>
        <w:pStyle w:val="Normal"/>
        <w:spacing w:lineRule="auto" w:line="360" w:beforeAutospacing="1" w:afterAutospacing="1"/>
        <w:ind w:first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Placówki oświatowe w gminie są sukcesywnie modernizowane dzięki środkom własnym gminy oraz funduszom zewnętrznym w tym ze środków UE.</w:t>
        <w:br/>
        <w:t>Większość szkół dysponuje:</w:t>
      </w:r>
    </w:p>
    <w:p>
      <w:pPr>
        <w:pStyle w:val="Normal"/>
        <w:numPr>
          <w:ilvl w:val="0"/>
          <w:numId w:val="37"/>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odnowionymi salami lekcyjnymi i zapleczem sanitarnym,</w:t>
      </w:r>
    </w:p>
    <w:p>
      <w:pPr>
        <w:pStyle w:val="Normal"/>
        <w:numPr>
          <w:ilvl w:val="0"/>
          <w:numId w:val="37"/>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nowoczesnymi pomocami dydaktycznymi (tablice interaktywne, laptopy, zestawy do nauki programowania),</w:t>
      </w:r>
    </w:p>
    <w:p>
      <w:pPr>
        <w:pStyle w:val="Normal"/>
        <w:numPr>
          <w:ilvl w:val="0"/>
          <w:numId w:val="37"/>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zapleczem sportowym.</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Trendy i tendencje rozwojowe</w:t>
      </w:r>
    </w:p>
    <w:p>
      <w:pPr>
        <w:pStyle w:val="ListParagraph"/>
        <w:numPr>
          <w:ilvl w:val="0"/>
          <w:numId w:val="33"/>
        </w:numPr>
        <w:spacing w:lineRule="auto" w:line="360" w:beforeAutospacing="1"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Stały wzrost liczby osób z wykształceniem wyższym, zwłaszcza wśród młodych kobiet i osób pracujących w sektorze usług.</w:t>
      </w:r>
    </w:p>
    <w:p>
      <w:pPr>
        <w:pStyle w:val="ListParagraph"/>
        <w:numPr>
          <w:ilvl w:val="0"/>
          <w:numId w:val="33"/>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Utrzymujący się wysoki udział osób z wykształceniem zawodowym, co stanowi potencjał dla lokalnego rynku pracy – szczególnie w branżach technicznych, budowlanych i usługowych.</w:t>
      </w:r>
    </w:p>
    <w:p>
      <w:pPr>
        <w:pStyle w:val="ListParagraph"/>
        <w:numPr>
          <w:ilvl w:val="0"/>
          <w:numId w:val="33"/>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Wzrastające zainteresowanie kształceniem ustawicznym i kursami kwalifikacyjnymi, realizowanymi m.in. w ramach projektów unijnych i działalności PUP w Lublinie Filia w Bychawie.</w:t>
      </w:r>
    </w:p>
    <w:p>
      <w:pPr>
        <w:pStyle w:val="ListParagraph"/>
        <w:numPr>
          <w:ilvl w:val="0"/>
          <w:numId w:val="33"/>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Emigracja edukacyjna młodzieży do Lublina i innych miast akademickich, co z jednej strony sprzyja podnoszeniu kompetencji, ale z drugiej powoduje odpływ młodych, wykształconych osób z gminy.</w:t>
      </w:r>
    </w:p>
    <w:p>
      <w:pPr>
        <w:pStyle w:val="ListParagraph"/>
        <w:numPr>
          <w:ilvl w:val="0"/>
          <w:numId w:val="33"/>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Gmina Bychawa dysponuje rosnącym potencjałem edukacyjnym mieszkańców, który jednak wymaga wzmocnienia poprzez tworzenie lokalnych możliwości rozwoju zawodowego i edukacji dorosłych.</w:t>
      </w:r>
    </w:p>
    <w:p>
      <w:pPr>
        <w:pStyle w:val="ListParagraph"/>
        <w:numPr>
          <w:ilvl w:val="0"/>
          <w:numId w:val="33"/>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Różnice w poziomie wykształcenia między miastem a wsią wskazują na potrzebę dalszych działań wyrównawczych i rozwoju infrastruktury edukacyjnej poza Bychawą.</w:t>
      </w:r>
    </w:p>
    <w:p>
      <w:pPr>
        <w:pStyle w:val="ListParagraph"/>
        <w:numPr>
          <w:ilvl w:val="0"/>
          <w:numId w:val="33"/>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Wysoki odsetek osób z wykształceniem zawodowym może stanowić bazę dla rozwoju lokalnego rzemiosła, usług i małej przedsiębiorczości, jeśli będzie wsparty programami rozwoju kompetencji i doradztwem zawodowym.</w:t>
      </w:r>
    </w:p>
    <w:p>
      <w:pPr>
        <w:pStyle w:val="ListParagraph"/>
        <w:numPr>
          <w:ilvl w:val="0"/>
          <w:numId w:val="33"/>
        </w:numPr>
        <w:spacing w:lineRule="auto" w:line="360" w:before="0" w:afterAutospacing="1"/>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Kluczowym wyzwaniem pozostaje zatrzymanie młodych, wykształconych mieszkańców poprzez tworzenie atrakcyjnych warunków pracy i życia na terenie gminy.</w:t>
      </w:r>
    </w:p>
    <w:p>
      <w:pPr>
        <w:pStyle w:val="Normal"/>
        <w:spacing w:lineRule="auto" w:line="360"/>
        <w:ind w:firstLine="708"/>
        <w:jc w:val="both"/>
        <w:rPr>
          <w:rStyle w:val="Strong"/>
          <w:rFonts w:ascii="Arial" w:hAnsi="Arial" w:cs="Arial"/>
          <w:b w:val="false"/>
          <w:bCs w:val="false"/>
        </w:rPr>
      </w:pPr>
      <w:r>
        <w:rPr>
          <w:rFonts w:cs="Arial" w:ascii="Arial" w:hAnsi="Arial"/>
        </w:rPr>
        <w:t>Edukacja w gminie Bychawa stanowi jeden z kluczowych filarów rozwoju lokalnego. Dzięki zaangażowaniu samorządu, kadry pedagogicznej i społeczności lokalnej system oświaty jest stabilny, dobrze zorganizowany i otwarty na innowacje.</w:t>
        <w:br/>
        <w:t xml:space="preserve">Wyzwania demograficzne i ekonomiczne wymagają jednak dalszej pracy nad </w:t>
      </w:r>
      <w:r>
        <w:rPr>
          <w:rStyle w:val="Strong"/>
          <w:rFonts w:cs="Arial" w:ascii="Arial" w:hAnsi="Arial"/>
          <w:b w:val="false"/>
          <w:bCs w:val="false"/>
        </w:rPr>
        <w:t>zrównoważonym rozwojem edukacji na obszarach wiejskich, podnoszeniem jakości kształcenia</w:t>
      </w:r>
      <w:r>
        <w:rPr>
          <w:rFonts w:cs="Arial" w:ascii="Arial" w:hAnsi="Arial"/>
        </w:rPr>
        <w:t xml:space="preserve"> oraz</w:t>
      </w:r>
      <w:r>
        <w:rPr>
          <w:rFonts w:cs="Arial" w:ascii="Arial" w:hAnsi="Arial"/>
          <w:b/>
          <w:bCs/>
        </w:rPr>
        <w:t xml:space="preserve"> </w:t>
      </w:r>
      <w:r>
        <w:rPr>
          <w:rStyle w:val="Strong"/>
          <w:rFonts w:cs="Arial" w:ascii="Arial" w:hAnsi="Arial"/>
          <w:b w:val="false"/>
          <w:bCs w:val="false"/>
        </w:rPr>
        <w:t xml:space="preserve">utrzymaniem równego dostępu do edukacji dla wszystkich </w:t>
      </w:r>
    </w:p>
    <w:p>
      <w:pPr>
        <w:pStyle w:val="Normal"/>
        <w:spacing w:lineRule="auto" w:line="360"/>
        <w:ind w:firstLine="708"/>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Liczba uczniów w roku szkolnym 2023/2024, przedstawia się następująco: </w:t>
      </w:r>
    </w:p>
    <w:tbl>
      <w:tblPr>
        <w:tblStyle w:val="Tabelasiatki5ciemnaakcent1"/>
        <w:tblW w:w="9062" w:type="dxa"/>
        <w:jc w:val="left"/>
        <w:tblInd w:w="0" w:type="dxa"/>
        <w:shd w:fill="D9DFEF" w:val="clear"/>
        <w:tblLayout w:type="fixed"/>
        <w:tblCellMar>
          <w:top w:w="0" w:type="dxa"/>
          <w:left w:w="108" w:type="dxa"/>
          <w:bottom w:w="0" w:type="dxa"/>
          <w:right w:w="108" w:type="dxa"/>
        </w:tblCellMar>
        <w:tblLook w:firstRow="1" w:noVBand="1" w:lastRow="0" w:firstColumn="1" w:lastColumn="0" w:noHBand="0" w:val="04a0"/>
      </w:tblPr>
      <w:tblGrid>
        <w:gridCol w:w="3020"/>
        <w:gridCol w:w="3021"/>
        <w:gridCol w:w="3021"/>
      </w:tblGrid>
      <w:tr>
        <w:trPr>
          <w:cnfStyle w:val="100000000000" w:firstRow="1" w:lastRow="0" w:firstColumn="0" w:lastColumn="0" w:oddVBand="0" w:evenVBand="0" w:oddHBand="0" w:evenHBand="0" w:firstRowFirstColumn="0" w:firstRowLastColumn="0" w:lastRowFirstColumn="0" w:lastRowLastColumn="0"/>
        </w:trPr>
        <w:tc>
          <w:tcPr>
            <w:tcW w:w="3020" w:type="dxa"/>
            <w:cnfStyle w:val="001000000000" w:firstRow="0" w:lastRow="0" w:firstColumn="1" w:lastColumn="0" w:oddVBand="0" w:evenVBand="0" w:oddHBand="0" w:evenHBand="0" w:firstRowFirstColumn="0" w:firstRowLastColumn="0" w:lastRowFirstColumn="0" w:lastRowLastColumn="0"/>
            <w:tcBorders/>
            <w:shd w:color="auto" w:fill="4A66AC" w:themeFill="accent1" w:val="clear"/>
          </w:tcPr>
          <w:p>
            <w:pPr>
              <w:pStyle w:val="Normal"/>
              <w:widowControl/>
              <w:suppressAutoHyphens w:val="true"/>
              <w:spacing w:lineRule="auto" w:line="360" w:before="0" w:after="0"/>
              <w:jc w:val="both"/>
              <w:rPr>
                <w:rFonts w:ascii="Arial" w:hAnsi="Arial" w:eastAsia="Times New Roman" w:cs="Arial"/>
                <w:kern w:val="0"/>
                <w:sz w:val="20"/>
                <w:szCs w:val="20"/>
                <w:lang w:eastAsia="pl-PL"/>
                <w14:ligatures w14:val="none"/>
              </w:rPr>
            </w:pPr>
            <w:r>
              <w:rPr>
                <w:rFonts w:eastAsia="Times New Roman" w:cs="Arial" w:ascii="Arial" w:hAnsi="Arial"/>
                <w:b/>
                <w:bCs/>
                <w:color w:themeColor="background1" w:val="FFFFFF"/>
                <w:kern w:val="0"/>
                <w:sz w:val="20"/>
                <w:szCs w:val="20"/>
                <w:lang w:val="pl-PL" w:eastAsia="pl-PL" w:bidi="ar-SA"/>
                <w14:ligatures w14:val="none"/>
              </w:rPr>
              <w:t>Rok szkolny 2023/2024</w:t>
            </w:r>
          </w:p>
        </w:tc>
        <w:tc>
          <w:tcPr>
            <w:tcW w:w="3021" w:type="dxa"/>
            <w:tcBorders>
              <w:bottom w:val="nil"/>
            </w:tcBorders>
            <w:shd w:color="auto" w:fill="4A66AC" w:themeFill="accent1" w:val="clear"/>
          </w:tcPr>
          <w:p>
            <w:pPr>
              <w:pStyle w:val="Normal"/>
              <w:widowControl/>
              <w:suppressAutoHyphens w:val="true"/>
              <w:spacing w:lineRule="auto" w:line="360" w:before="0" w:after="0"/>
              <w:jc w:val="both"/>
              <w:cnfStyle w:val="100000000000" w:firstRow="1" w:lastRow="0" w:firstColumn="0" w:lastColumn="0" w:oddVBand="0" w:evenVBand="0" w:oddHBand="0" w:evenHBand="0" w:firstRowFirstColumn="0" w:firstRowLastColumn="0" w:lastRowFirstColumn="0" w:lastRowLastColumn="0"/>
              <w:rPr>
                <w:rFonts w:ascii="Arial" w:hAnsi="Arial" w:eastAsia="Times New Roman" w:cs="Arial"/>
                <w:kern w:val="0"/>
                <w:sz w:val="20"/>
                <w:szCs w:val="20"/>
                <w:lang w:eastAsia="pl-PL"/>
                <w14:ligatures w14:val="none"/>
              </w:rPr>
            </w:pPr>
            <w:r>
              <w:rPr>
                <w:rFonts w:eastAsia="Times New Roman" w:cs="Arial" w:ascii="Arial" w:hAnsi="Arial"/>
                <w:b/>
                <w:bCs/>
                <w:color w:themeColor="background1" w:val="FFFFFF"/>
                <w:kern w:val="0"/>
                <w:sz w:val="20"/>
                <w:szCs w:val="20"/>
                <w:lang w:val="pl-PL" w:eastAsia="pl-PL" w:bidi="ar-SA"/>
                <w14:ligatures w14:val="none"/>
              </w:rPr>
              <w:t>Liczba oddziałów</w:t>
            </w:r>
          </w:p>
        </w:tc>
        <w:tc>
          <w:tcPr>
            <w:tcW w:w="3021" w:type="dxa"/>
            <w:tcBorders>
              <w:bottom w:val="nil"/>
            </w:tcBorders>
            <w:shd w:color="auto" w:fill="4A66AC" w:themeFill="accent1" w:val="clear"/>
          </w:tcPr>
          <w:p>
            <w:pPr>
              <w:pStyle w:val="Normal"/>
              <w:widowControl/>
              <w:suppressAutoHyphens w:val="true"/>
              <w:spacing w:lineRule="auto" w:line="360" w:before="0" w:after="0"/>
              <w:jc w:val="both"/>
              <w:cnfStyle w:val="100000000000" w:firstRow="1" w:lastRow="0" w:firstColumn="0" w:lastColumn="0" w:oddVBand="0" w:evenVBand="0" w:oddHBand="0" w:evenHBand="0" w:firstRowFirstColumn="0" w:firstRowLastColumn="0" w:lastRowFirstColumn="0" w:lastRowLastColumn="0"/>
              <w:rPr>
                <w:rFonts w:ascii="Arial" w:hAnsi="Arial" w:eastAsia="Times New Roman" w:cs="Arial"/>
                <w:kern w:val="0"/>
                <w:sz w:val="20"/>
                <w:szCs w:val="20"/>
                <w:lang w:eastAsia="pl-PL"/>
                <w14:ligatures w14:val="none"/>
              </w:rPr>
            </w:pPr>
            <w:r>
              <w:rPr>
                <w:rFonts w:eastAsia="Times New Roman" w:cs="Arial" w:ascii="Arial" w:hAnsi="Arial"/>
                <w:b/>
                <w:bCs/>
                <w:color w:themeColor="background1" w:val="FFFFFF"/>
                <w:kern w:val="0"/>
                <w:sz w:val="20"/>
                <w:szCs w:val="20"/>
                <w:lang w:val="pl-PL" w:eastAsia="pl-PL" w:bidi="ar-SA"/>
                <w14:ligatures w14:val="none"/>
              </w:rPr>
              <w:t>Liczba uczniów</w:t>
            </w:r>
          </w:p>
        </w:tc>
      </w:tr>
      <w:tr>
        <w:trPr>
          <w:cnfStyle w:val="000000100000" w:firstRow="0" w:lastRow="0" w:firstColumn="0" w:lastColumn="0" w:oddVBand="0" w:evenVBand="0" w:oddHBand="1" w:evenHBand="0" w:firstRowFirstColumn="0" w:firstRowLastColumn="0" w:lastRowFirstColumn="0" w:lastRowLastColumn="0"/>
        </w:trPr>
        <w:tc>
          <w:tcPr>
            <w:tcW w:w="3020" w:type="dxa"/>
            <w:cnfStyle w:val="001000000000" w:firstRow="0" w:lastRow="0" w:firstColumn="1" w:lastColumn="0" w:oddVBand="0" w:evenVBand="0" w:oddHBand="0" w:evenHBand="0" w:firstRowFirstColumn="0" w:firstRowLastColumn="0" w:lastRowFirstColumn="0" w:lastRowLastColumn="0"/>
            <w:tcBorders>
              <w:right w:val="nil"/>
            </w:tcBorders>
            <w:shd w:color="auto" w:fill="4A66AC" w:themeFill="accent1" w:val="clear"/>
          </w:tcPr>
          <w:p>
            <w:pPr>
              <w:pStyle w:val="Normal"/>
              <w:widowControl/>
              <w:suppressAutoHyphens w:val="true"/>
              <w:spacing w:lineRule="auto" w:line="360" w:before="0" w:after="0"/>
              <w:jc w:val="both"/>
              <w:rPr>
                <w:rFonts w:ascii="Arial" w:hAnsi="Arial" w:eastAsia="Times New Roman" w:cs="Arial"/>
                <w:kern w:val="0"/>
                <w:sz w:val="20"/>
                <w:szCs w:val="20"/>
                <w:lang w:eastAsia="pl-PL"/>
                <w14:ligatures w14:val="none"/>
              </w:rPr>
            </w:pPr>
            <w:r>
              <w:rPr>
                <w:rFonts w:eastAsia="Times New Roman" w:cs="Arial" w:ascii="Arial" w:hAnsi="Arial"/>
                <w:b/>
                <w:bCs/>
                <w:color w:themeColor="background1" w:val="FFFFFF"/>
                <w:kern w:val="0"/>
                <w:sz w:val="20"/>
                <w:szCs w:val="20"/>
                <w:lang w:val="pl-PL" w:eastAsia="pl-PL" w:bidi="ar-SA"/>
                <w14:ligatures w14:val="none"/>
              </w:rPr>
              <w:t>Szkoły samorządowe</w:t>
            </w:r>
          </w:p>
        </w:tc>
        <w:tc>
          <w:tcPr>
            <w:tcW w:w="3021" w:type="dxa"/>
            <w:tcBorders/>
            <w:shd w:color="auto" w:fill="B5C0DF" w:themeFill="accent1" w:themeFillTint="66" w:val="clear"/>
          </w:tcPr>
          <w:p>
            <w:pPr>
              <w:pStyle w:val="Normal"/>
              <w:widowControl/>
              <w:suppressAutoHyphens w:val="true"/>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Cs/>
                <w:color w:val="002060"/>
                <w:kern w:val="0"/>
                <w:sz w:val="20"/>
                <w:szCs w:val="20"/>
                <w:lang w:eastAsia="pl-PL"/>
                <w14:ligatures w14:val="none"/>
              </w:rPr>
            </w:pPr>
            <w:r>
              <w:rPr>
                <w:rFonts w:eastAsia="Times New Roman" w:cs="Arial" w:ascii="Arial" w:hAnsi="Arial"/>
                <w:b/>
                <w:bCs/>
                <w:color w:val="002060"/>
                <w:kern w:val="0"/>
                <w:sz w:val="20"/>
                <w:szCs w:val="20"/>
                <w:lang w:val="pl-PL" w:eastAsia="pl-PL" w:bidi="ar-SA"/>
                <w14:ligatures w14:val="none"/>
              </w:rPr>
              <w:t>47</w:t>
            </w:r>
          </w:p>
        </w:tc>
        <w:tc>
          <w:tcPr>
            <w:tcW w:w="3021" w:type="dxa"/>
            <w:tcBorders/>
            <w:shd w:color="auto" w:fill="B5C0DF" w:themeFill="accent1" w:themeFillTint="66" w:val="clear"/>
          </w:tcPr>
          <w:p>
            <w:pPr>
              <w:pStyle w:val="Normal"/>
              <w:widowControl/>
              <w:suppressAutoHyphens w:val="true"/>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Cs/>
                <w:color w:val="002060"/>
                <w:kern w:val="0"/>
                <w:sz w:val="20"/>
                <w:szCs w:val="20"/>
                <w:lang w:eastAsia="pl-PL"/>
                <w14:ligatures w14:val="none"/>
              </w:rPr>
            </w:pPr>
            <w:r>
              <w:rPr>
                <w:rFonts w:eastAsia="Times New Roman" w:cs="Arial" w:ascii="Arial" w:hAnsi="Arial"/>
                <w:b/>
                <w:bCs/>
                <w:color w:val="002060"/>
                <w:kern w:val="0"/>
                <w:sz w:val="20"/>
                <w:szCs w:val="20"/>
                <w:lang w:val="pl-PL" w:eastAsia="pl-PL" w:bidi="ar-SA"/>
                <w14:ligatures w14:val="none"/>
              </w:rPr>
              <w:t>709</w:t>
            </w:r>
          </w:p>
        </w:tc>
      </w:tr>
      <w:tr>
        <w:trPr/>
        <w:tc>
          <w:tcPr>
            <w:tcW w:w="3020" w:type="dxa"/>
            <w:cnfStyle w:val="001000000000" w:firstRow="0" w:lastRow="0" w:firstColumn="1" w:lastColumn="0" w:oddVBand="0" w:evenVBand="0" w:oddHBand="0" w:evenHBand="0" w:firstRowFirstColumn="0" w:firstRowLastColumn="0" w:lastRowFirstColumn="0" w:lastRowLastColumn="0"/>
            <w:tcBorders>
              <w:right w:val="nil"/>
            </w:tcBorders>
            <w:shd w:color="auto" w:fill="4A66AC" w:themeFill="accent1" w:val="clear"/>
          </w:tcPr>
          <w:p>
            <w:pPr>
              <w:pStyle w:val="Normal"/>
              <w:widowControl/>
              <w:suppressAutoHyphens w:val="true"/>
              <w:spacing w:lineRule="auto" w:line="360" w:before="0" w:after="0"/>
              <w:jc w:val="both"/>
              <w:rPr>
                <w:rFonts w:ascii="Arial" w:hAnsi="Arial" w:eastAsia="Times New Roman" w:cs="Arial"/>
                <w:kern w:val="0"/>
                <w:sz w:val="20"/>
                <w:szCs w:val="20"/>
                <w:lang w:eastAsia="pl-PL"/>
                <w14:ligatures w14:val="none"/>
              </w:rPr>
            </w:pPr>
            <w:r>
              <w:rPr>
                <w:rFonts w:eastAsia="Times New Roman" w:cs="Arial" w:ascii="Arial" w:hAnsi="Arial"/>
                <w:b/>
                <w:bCs/>
                <w:color w:themeColor="background1" w:val="FFFFFF"/>
                <w:kern w:val="0"/>
                <w:sz w:val="20"/>
                <w:szCs w:val="20"/>
                <w:lang w:val="pl-PL" w:eastAsia="pl-PL" w:bidi="ar-SA"/>
                <w14:ligatures w14:val="none"/>
              </w:rPr>
              <w:t>Szkoła niepubliczna</w:t>
            </w:r>
          </w:p>
        </w:tc>
        <w:tc>
          <w:tcPr>
            <w:tcW w:w="3021" w:type="dxa"/>
            <w:tcBorders/>
            <w:shd w:color="auto" w:fill="D9DFEF" w:themeFill="accent1" w:themeFillTint="33" w:val="clear"/>
          </w:tcPr>
          <w:p>
            <w:pPr>
              <w:pStyle w:val="Normal"/>
              <w:widowControl/>
              <w:suppressAutoHyphens w:val="true"/>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Cs/>
                <w:color w:val="002060"/>
                <w:kern w:val="0"/>
                <w:sz w:val="20"/>
                <w:szCs w:val="20"/>
                <w:lang w:eastAsia="pl-PL"/>
                <w14:ligatures w14:val="none"/>
              </w:rPr>
            </w:pPr>
            <w:r>
              <w:rPr>
                <w:rFonts w:eastAsia="Times New Roman" w:cs="Arial" w:ascii="Arial" w:hAnsi="Arial"/>
                <w:b/>
                <w:bCs/>
                <w:color w:val="002060"/>
                <w:kern w:val="0"/>
                <w:sz w:val="20"/>
                <w:szCs w:val="20"/>
                <w:lang w:val="pl-PL" w:eastAsia="pl-PL" w:bidi="ar-SA"/>
                <w14:ligatures w14:val="none"/>
              </w:rPr>
              <w:t>8</w:t>
            </w:r>
          </w:p>
        </w:tc>
        <w:tc>
          <w:tcPr>
            <w:tcW w:w="3021" w:type="dxa"/>
            <w:tcBorders/>
            <w:shd w:color="auto" w:fill="D9DFEF" w:themeFill="accent1" w:themeFillTint="33" w:val="clear"/>
          </w:tcPr>
          <w:p>
            <w:pPr>
              <w:pStyle w:val="Normal"/>
              <w:widowControl/>
              <w:suppressAutoHyphens w:val="true"/>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Cs/>
                <w:color w:val="002060"/>
                <w:kern w:val="0"/>
                <w:sz w:val="20"/>
                <w:szCs w:val="20"/>
                <w:lang w:eastAsia="pl-PL"/>
                <w14:ligatures w14:val="none"/>
              </w:rPr>
            </w:pPr>
            <w:r>
              <w:rPr>
                <w:rFonts w:eastAsia="Times New Roman" w:cs="Arial" w:ascii="Arial" w:hAnsi="Arial"/>
                <w:b/>
                <w:bCs/>
                <w:color w:val="002060"/>
                <w:kern w:val="0"/>
                <w:sz w:val="20"/>
                <w:szCs w:val="20"/>
                <w:lang w:val="pl-PL" w:eastAsia="pl-PL" w:bidi="ar-SA"/>
                <w14:ligatures w14:val="none"/>
              </w:rPr>
              <w:t>90</w:t>
            </w:r>
          </w:p>
        </w:tc>
      </w:tr>
      <w:tr>
        <w:trPr>
          <w:cnfStyle w:val="000000100000" w:firstRow="0" w:lastRow="0" w:firstColumn="0" w:lastColumn="0" w:oddVBand="0" w:evenVBand="0" w:oddHBand="1" w:evenHBand="0" w:firstRowFirstColumn="0" w:firstRowLastColumn="0" w:lastRowFirstColumn="0" w:lastRowLastColumn="0"/>
        </w:trPr>
        <w:tc>
          <w:tcPr>
            <w:tcW w:w="3020" w:type="dxa"/>
            <w:cnfStyle w:val="001000000000" w:firstRow="0" w:lastRow="0" w:firstColumn="1" w:lastColumn="0" w:oddVBand="0" w:evenVBand="0" w:oddHBand="0" w:evenHBand="0" w:firstRowFirstColumn="0" w:firstRowLastColumn="0" w:lastRowFirstColumn="0" w:lastRowLastColumn="0"/>
            <w:tcBorders>
              <w:right w:val="nil"/>
            </w:tcBorders>
            <w:shd w:color="auto" w:fill="4A66AC" w:themeFill="accent1" w:val="clear"/>
          </w:tcPr>
          <w:p>
            <w:pPr>
              <w:pStyle w:val="Normal"/>
              <w:widowControl/>
              <w:suppressAutoHyphens w:val="true"/>
              <w:spacing w:lineRule="auto" w:line="360" w:before="0" w:after="0"/>
              <w:jc w:val="both"/>
              <w:rPr>
                <w:rFonts w:ascii="Arial" w:hAnsi="Arial" w:eastAsia="Times New Roman" w:cs="Arial"/>
                <w:kern w:val="0"/>
                <w:sz w:val="20"/>
                <w:szCs w:val="20"/>
                <w:lang w:eastAsia="pl-PL"/>
                <w14:ligatures w14:val="none"/>
              </w:rPr>
            </w:pPr>
            <w:r>
              <w:rPr>
                <w:rFonts w:eastAsia="Times New Roman" w:cs="Arial" w:ascii="Arial" w:hAnsi="Arial"/>
                <w:b/>
                <w:bCs/>
                <w:color w:themeColor="background1" w:val="FFFFFF"/>
                <w:kern w:val="0"/>
                <w:sz w:val="20"/>
                <w:szCs w:val="20"/>
                <w:lang w:val="pl-PL" w:eastAsia="pl-PL" w:bidi="ar-SA"/>
                <w14:ligatures w14:val="none"/>
              </w:rPr>
              <w:t>Razem</w:t>
            </w:r>
          </w:p>
        </w:tc>
        <w:tc>
          <w:tcPr>
            <w:tcW w:w="3021" w:type="dxa"/>
            <w:tcBorders/>
            <w:shd w:color="auto" w:fill="B5C0DF" w:themeFill="accent1" w:themeFillTint="66" w:val="clear"/>
          </w:tcPr>
          <w:p>
            <w:pPr>
              <w:pStyle w:val="Normal"/>
              <w:widowControl/>
              <w:suppressAutoHyphens w:val="true"/>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Cs/>
                <w:color w:val="002060"/>
                <w:kern w:val="0"/>
                <w:sz w:val="20"/>
                <w:szCs w:val="20"/>
                <w:lang w:eastAsia="pl-PL"/>
                <w14:ligatures w14:val="none"/>
              </w:rPr>
            </w:pPr>
            <w:r>
              <w:rPr>
                <w:rFonts w:eastAsia="Times New Roman" w:cs="Arial" w:ascii="Arial" w:hAnsi="Arial"/>
                <w:b/>
                <w:bCs/>
                <w:color w:val="002060"/>
                <w:kern w:val="0"/>
                <w:sz w:val="20"/>
                <w:szCs w:val="20"/>
                <w:lang w:val="pl-PL" w:eastAsia="pl-PL" w:bidi="ar-SA"/>
                <w14:ligatures w14:val="none"/>
              </w:rPr>
              <w:t>55</w:t>
            </w:r>
          </w:p>
        </w:tc>
        <w:tc>
          <w:tcPr>
            <w:tcW w:w="3021" w:type="dxa"/>
            <w:tcBorders/>
            <w:shd w:color="auto" w:fill="B5C0DF" w:themeFill="accent1" w:themeFillTint="66" w:val="clear"/>
          </w:tcPr>
          <w:p>
            <w:pPr>
              <w:pStyle w:val="Normal"/>
              <w:widowControl/>
              <w:suppressAutoHyphens w:val="true"/>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Cs/>
                <w:color w:val="002060"/>
                <w:kern w:val="0"/>
                <w:sz w:val="20"/>
                <w:szCs w:val="20"/>
                <w:lang w:eastAsia="pl-PL"/>
                <w14:ligatures w14:val="none"/>
              </w:rPr>
            </w:pPr>
            <w:r>
              <w:rPr>
                <w:rFonts w:eastAsia="Times New Roman" w:cs="Arial" w:ascii="Arial" w:hAnsi="Arial"/>
                <w:b/>
                <w:bCs/>
                <w:color w:val="002060"/>
                <w:kern w:val="0"/>
                <w:sz w:val="20"/>
                <w:szCs w:val="20"/>
                <w:lang w:val="pl-PL" w:eastAsia="pl-PL" w:bidi="ar-SA"/>
                <w14:ligatures w14:val="none"/>
              </w:rPr>
              <w:t>799</w:t>
            </w:r>
          </w:p>
        </w:tc>
      </w:tr>
    </w:tbl>
    <w:p>
      <w:pPr>
        <w:pStyle w:val="Heading3"/>
        <w:numPr>
          <w:ilvl w:val="2"/>
          <w:numId w:val="1"/>
        </w:numPr>
        <w:jc w:val="both"/>
        <w:rPr>
          <w:rFonts w:ascii="Arial" w:hAnsi="Arial" w:eastAsia="Times New Roman" w:cs="Arial"/>
          <w:b/>
          <w:bCs/>
          <w:color w:val="00204F"/>
          <w:kern w:val="0"/>
          <w:lang w:eastAsia="pl-PL"/>
          <w14:ligatures w14:val="none"/>
        </w:rPr>
      </w:pPr>
      <w:r>
        <w:rPr>
          <w:rFonts w:cs="Arial" w:ascii="Arial" w:hAnsi="Arial"/>
          <w:b/>
          <w:bCs/>
          <w:color w:val="00204F"/>
        </w:rPr>
        <w:t xml:space="preserve">Sytuacja w zakresie ochrony i promocji zdrowia w </w:t>
      </w:r>
      <w:r>
        <w:rPr>
          <w:rFonts w:eastAsia="Times New Roman" w:cs="Arial" w:ascii="Arial" w:hAnsi="Arial"/>
          <w:b/>
          <w:bCs/>
          <w:color w:val="00204F"/>
          <w:kern w:val="0"/>
          <w:lang w:eastAsia="pl-PL"/>
          <w14:ligatures w14:val="none"/>
        </w:rPr>
        <w:t>Gminie Bychawa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Na terenie gminy Bychawa funkcjonuje podstawowa sieć placówek medycznych, zapewniających mieszkańcom dostęp do świadczeń w ramach podstawowej opieki zdrowotnej (POZ) oraz części usług specjalistycznych. System ochrony zdrowia opiera się głównie na podmiotach publicznych i niepublicznych działających w ramach kontraktów z Narodowym Funduszem Zdrowia (NFZ).</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skład infrastruktury zdrowotnej gminy wchodzą m.in.:</w:t>
      </w:r>
    </w:p>
    <w:p>
      <w:pPr>
        <w:pStyle w:val="Normal"/>
        <w:numPr>
          <w:ilvl w:val="0"/>
          <w:numId w:val="38"/>
        </w:numPr>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Samodzielny Publiczny Zakład Opieki Zdrowotnej (SPZOZ) w Bychawie, obejmujący:</w:t>
      </w:r>
    </w:p>
    <w:p>
      <w:pPr>
        <w:pStyle w:val="ListParagraph"/>
        <w:numPr>
          <w:ilvl w:val="0"/>
          <w:numId w:val="42"/>
        </w:numPr>
        <w:spacing w:lineRule="auto" w:line="360" w:beforeAutospacing="1"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Szpital Powiatowy</w:t>
      </w:r>
    </w:p>
    <w:p>
      <w:pPr>
        <w:pStyle w:val="ListParagraph"/>
        <w:numPr>
          <w:ilvl w:val="0"/>
          <w:numId w:val="42"/>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Zakład Opiekuńczo-Leczniczy</w:t>
      </w:r>
    </w:p>
    <w:p>
      <w:pPr>
        <w:pStyle w:val="ListParagraph"/>
        <w:numPr>
          <w:ilvl w:val="0"/>
          <w:numId w:val="42"/>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Przychodnię Rejonową</w:t>
      </w:r>
    </w:p>
    <w:p>
      <w:pPr>
        <w:pStyle w:val="ListParagraph"/>
        <w:numPr>
          <w:ilvl w:val="0"/>
          <w:numId w:val="42"/>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Nocną i świąteczną opiekę zdrowotną</w:t>
      </w:r>
    </w:p>
    <w:p>
      <w:pPr>
        <w:pStyle w:val="ListParagraph"/>
        <w:numPr>
          <w:ilvl w:val="0"/>
          <w:numId w:val="42"/>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Ośrodek rehabilitacji i fizjoterapii</w:t>
      </w:r>
    </w:p>
    <w:p>
      <w:pPr>
        <w:pStyle w:val="ListParagraph"/>
        <w:numPr>
          <w:ilvl w:val="0"/>
          <w:numId w:val="42"/>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Pracownią rengenodiagnostyki ogólnej</w:t>
      </w:r>
    </w:p>
    <w:p>
      <w:pPr>
        <w:pStyle w:val="ListParagraph"/>
        <w:numPr>
          <w:ilvl w:val="0"/>
          <w:numId w:val="42"/>
        </w:numPr>
        <w:spacing w:lineRule="auto" w:line="360" w:before="0" w:afterAutospacing="1"/>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Zespół ratownictwa medycznego </w:t>
      </w:r>
    </w:p>
    <w:p>
      <w:pPr>
        <w:pStyle w:val="ListParagraph"/>
        <w:numPr>
          <w:ilvl w:val="0"/>
          <w:numId w:val="43"/>
        </w:numPr>
        <w:spacing w:lineRule="auto" w:line="360" w:beforeAutospacing="1"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Prywatne gabinety lekarskie i stomatologiczne.</w:t>
      </w:r>
    </w:p>
    <w:p>
      <w:pPr>
        <w:pStyle w:val="ListParagraph"/>
        <w:numPr>
          <w:ilvl w:val="0"/>
          <w:numId w:val="43"/>
        </w:numPr>
        <w:spacing w:lineRule="auto" w:line="360" w:before="0" w:afterAutospacing="1"/>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Apteki ogólnodostępne (zlokalizowane głównie w mieście Bychawa).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Placówki medyczne są skoncentrowane głównie w mieście Bychawa – w związku z tym mieszkańcy wsi muszą korzystać z dojazdów do miasta lub do sąsiednich gmin, co ogranicza dostępność świadczeń dla osób starszych, samotnych i niezmotoryzowanych.</w:t>
      </w:r>
    </w:p>
    <w:p>
      <w:pPr>
        <w:pStyle w:val="Normal"/>
        <w:spacing w:lineRule="auto" w:line="276" w:beforeAutospacing="1" w:afterAutospacing="1"/>
        <w:jc w:val="both"/>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 xml:space="preserve">Dostępność usług zdrowotnych </w:t>
      </w:r>
    </w:p>
    <w:p>
      <w:pPr>
        <w:pStyle w:val="Normal"/>
        <w:spacing w:lineRule="auto" w:line="276"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Mieszkańcy gminy Bychawa mają zapewniony dostęp do podstawowych usług medycznych, jednak występują problemy z:</w:t>
      </w:r>
    </w:p>
    <w:p>
      <w:pPr>
        <w:pStyle w:val="Normal"/>
        <w:numPr>
          <w:ilvl w:val="0"/>
          <w:numId w:val="39"/>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ograniczoną liczbą lekarzy specjalistów przyjmujących w ramach NFZ,</w:t>
      </w:r>
    </w:p>
    <w:p>
      <w:pPr>
        <w:pStyle w:val="Normal"/>
        <w:numPr>
          <w:ilvl w:val="0"/>
          <w:numId w:val="39"/>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długim czasem oczekiwania na wizyty specjalistyczne i badania diagnostyczne,</w:t>
      </w:r>
    </w:p>
    <w:p>
      <w:pPr>
        <w:pStyle w:val="Normal"/>
        <w:numPr>
          <w:ilvl w:val="0"/>
          <w:numId w:val="39"/>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ograniczoną dostępnością opieki psychiatrycznej i psychologicznej, szczególnie dla dzieci i młodzieży.</w:t>
      </w:r>
    </w:p>
    <w:p>
      <w:pPr>
        <w:pStyle w:val="Normal"/>
        <w:spacing w:lineRule="auto" w:line="360" w:beforeAutospacing="1" w:afterAutospacing="1"/>
        <w:ind w:hanging="360" w:left="360"/>
        <w:jc w:val="both"/>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Zdrowie mieszkańców Gminy Bychawa– główne problemy i wyzwania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Na podstawie danych z raportów epidemiologicznych, programów zdrowotnych i obserwacji lokalnych można wskazać najważniejsze problemy zdrowotne społeczności gminy Bychawa:</w:t>
      </w:r>
    </w:p>
    <w:p>
      <w:pPr>
        <w:pStyle w:val="ListParagraph"/>
        <w:numPr>
          <w:ilvl w:val="0"/>
          <w:numId w:val="44"/>
        </w:numPr>
        <w:spacing w:lineRule="auto" w:line="360" w:beforeAutospacing="1"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Choroby układu krążenia (nadciśnienie, choroba niedokrwienna serca) – najczęstsza przyczyna zgonów.</w:t>
      </w:r>
    </w:p>
    <w:p>
      <w:pPr>
        <w:pStyle w:val="ListParagraph"/>
        <w:numPr>
          <w:ilvl w:val="0"/>
          <w:numId w:val="44"/>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Choroby metaboliczne, w tym otyłość i cukrzyca typu 2.</w:t>
      </w:r>
    </w:p>
    <w:p>
      <w:pPr>
        <w:pStyle w:val="ListParagraph"/>
        <w:numPr>
          <w:ilvl w:val="0"/>
          <w:numId w:val="44"/>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Nowotwory złośliwe – szczególnie płuc, jelita grubego i piersi.</w:t>
      </w:r>
    </w:p>
    <w:p>
      <w:pPr>
        <w:pStyle w:val="ListParagraph"/>
        <w:numPr>
          <w:ilvl w:val="0"/>
          <w:numId w:val="44"/>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Zaburzenia zdrowia psychicznego – wzrost liczby osób z depresją, zaburzeniami lękowymi, a także problemami adaptacyjnymi wśród młodzieży.</w:t>
      </w:r>
    </w:p>
    <w:p>
      <w:pPr>
        <w:pStyle w:val="ListParagraph"/>
        <w:numPr>
          <w:ilvl w:val="0"/>
          <w:numId w:val="44"/>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Problemy geriatryczne i niepełnosprawność osób starszych – związane z procesem starzenia się społeczeństwa.</w:t>
      </w:r>
    </w:p>
    <w:p>
      <w:pPr>
        <w:pStyle w:val="ListParagraph"/>
        <w:numPr>
          <w:ilvl w:val="0"/>
          <w:numId w:val="44"/>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Niska aktywność fizyczna i niewystarczająca profilaktyka zdrowotna, zwłaszcza wśród dorosłych.</w:t>
      </w:r>
    </w:p>
    <w:p>
      <w:pPr>
        <w:pStyle w:val="ListParagraph"/>
        <w:numPr>
          <w:ilvl w:val="0"/>
          <w:numId w:val="44"/>
        </w:numPr>
        <w:spacing w:lineRule="auto" w:line="360" w:before="0" w:afterAutospacing="1"/>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Uzależnienia – od alkoholu, nikotyny i coraz częściej od technologii cyfrowych wśród młodych.</w:t>
      </w:r>
    </w:p>
    <w:p>
      <w:pPr>
        <w:pStyle w:val="Normal"/>
        <w:numPr>
          <w:ilvl w:val="0"/>
          <w:numId w:val="0"/>
        </w:numPr>
        <w:spacing w:lineRule="auto" w:line="360" w:beforeAutospacing="1" w:afterAutospacing="1"/>
        <w:ind w:hanging="0" w:left="0"/>
        <w:jc w:val="both"/>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Działania profilaktyczne i programy zdrowotne</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Samorząd gminy Bychawa prowadzi i współfinansuje działania profilaktyczne, m.in.:</w:t>
      </w:r>
    </w:p>
    <w:p>
      <w:pPr>
        <w:pStyle w:val="Normal"/>
        <w:numPr>
          <w:ilvl w:val="0"/>
          <w:numId w:val="40"/>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akcje promujące zdrowy styl życia i aktywność fizyczną,</w:t>
      </w:r>
    </w:p>
    <w:p>
      <w:pPr>
        <w:pStyle w:val="Normal"/>
        <w:numPr>
          <w:ilvl w:val="0"/>
          <w:numId w:val="40"/>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programy profilaktyczne,</w:t>
      </w:r>
    </w:p>
    <w:p>
      <w:pPr>
        <w:pStyle w:val="Normal"/>
        <w:numPr>
          <w:ilvl w:val="0"/>
          <w:numId w:val="40"/>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edukację prozdrowotną w szkołach (m.in. higiena, zdrowe odżywianie, przeciwdziałanie uzależnieniom).</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Działania te realizowane są często we współpracy z organizacjami pozarządowymi i szkołami, przedszkolem.  </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Na podstawie diagnozy można wskazać kluczowe potrzeby w obszarze ochrony zdrowia w gminie Bychawa:</w:t>
      </w:r>
    </w:p>
    <w:p>
      <w:pPr>
        <w:pStyle w:val="ListParagraph"/>
        <w:numPr>
          <w:ilvl w:val="0"/>
          <w:numId w:val="45"/>
        </w:numPr>
        <w:spacing w:lineRule="auto" w:line="360" w:beforeAutospacing="1"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Zwiększenie dostępności specjalistycznych usług medycznych, zwłaszcza w zakresie kardiologii, okulistyki i psychiatrii.</w:t>
      </w:r>
    </w:p>
    <w:p>
      <w:pPr>
        <w:pStyle w:val="ListParagraph"/>
        <w:numPr>
          <w:ilvl w:val="0"/>
          <w:numId w:val="45"/>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Rozwój opieki psychiatrycznej dla dzieci i młodzieży.</w:t>
      </w:r>
    </w:p>
    <w:p>
      <w:pPr>
        <w:pStyle w:val="ListParagraph"/>
        <w:numPr>
          <w:ilvl w:val="0"/>
          <w:numId w:val="45"/>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Wsparcie systemu opieki długoterminowej i domowej dla osób starszych i przewlekle chorych.</w:t>
      </w:r>
    </w:p>
    <w:p>
      <w:pPr>
        <w:pStyle w:val="ListParagraph"/>
        <w:numPr>
          <w:ilvl w:val="0"/>
          <w:numId w:val="45"/>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Zintensyfikowanie działań profilaktycznych w zakresie chorób cywilizacyjnych.</w:t>
      </w:r>
    </w:p>
    <w:p>
      <w:pPr>
        <w:pStyle w:val="ListParagraph"/>
        <w:numPr>
          <w:ilvl w:val="0"/>
          <w:numId w:val="45"/>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Poprawa transportu medycznego i dostępności usług dla mieszkańców wsi.</w:t>
      </w:r>
    </w:p>
    <w:p>
      <w:pPr>
        <w:pStyle w:val="ListParagraph"/>
        <w:numPr>
          <w:ilvl w:val="0"/>
          <w:numId w:val="45"/>
        </w:numPr>
        <w:spacing w:lineRule="auto" w:line="360" w:before="0" w:afterAutospacing="1"/>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Wzmacnianie współpracy między samorządem, oświatą i służbą zdrowia w zakresie promocji zdrowego stylu życia.</w:t>
      </w:r>
    </w:p>
    <w:p>
      <w:pPr>
        <w:pStyle w:val="Normal"/>
        <w:numPr>
          <w:ilvl w:val="0"/>
          <w:numId w:val="0"/>
        </w:numPr>
        <w:spacing w:lineRule="auto" w:line="360" w:beforeAutospacing="1" w:afterAutospacing="1"/>
        <w:ind w:hanging="0" w:left="0"/>
        <w:jc w:val="both"/>
        <w:outlineLvl w:val="2"/>
        <w:rPr>
          <w:rFonts w:ascii="Arial" w:hAnsi="Arial" w:eastAsia="Times New Roman" w:cs="Arial"/>
          <w:kern w:val="0"/>
          <w:lang w:eastAsia="pl-PL"/>
          <w14:ligatures w14:val="none"/>
        </w:rPr>
      </w:pPr>
      <w:r>
        <w:rPr>
          <w:rFonts w:eastAsia="Times New Roman" w:cs="Arial" w:ascii="Arial" w:hAnsi="Arial"/>
          <w:kern w:val="0"/>
          <w:lang w:eastAsia="pl-PL"/>
          <w14:ligatures w14:val="none"/>
        </w:rPr>
        <w:t>Potencjał wspólnoty samorządowej</w:t>
      </w:r>
    </w:p>
    <w:p>
      <w:pPr>
        <w:pStyle w:val="Normal"/>
        <w:numPr>
          <w:ilvl w:val="0"/>
          <w:numId w:val="41"/>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Aktywny samorząd gminny, który wspiera programy zdrowotne i profilaktyczne.</w:t>
      </w:r>
    </w:p>
    <w:p>
      <w:pPr>
        <w:pStyle w:val="Normal"/>
        <w:numPr>
          <w:ilvl w:val="0"/>
          <w:numId w:val="4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Dobrze funkcjonujący SPZOZ w Bychawie, stanowiący centrum lokalnej opieki zdrowotnej.</w:t>
      </w:r>
    </w:p>
    <w:p>
      <w:pPr>
        <w:pStyle w:val="Normal"/>
        <w:numPr>
          <w:ilvl w:val="0"/>
          <w:numId w:val="4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Współpraca z Powiatem Lubelskim i instytucjami wojewódzkimi w zakresie ochrony zdrowia.</w:t>
      </w:r>
    </w:p>
    <w:p>
      <w:pPr>
        <w:pStyle w:val="Normal"/>
        <w:numPr>
          <w:ilvl w:val="0"/>
          <w:numId w:val="4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Zaangażowanie organizacji społecznych (np. Koła Gospodyń Wiejskich, kluby seniora) w działania prozdrowotne i edukacyjne.</w:t>
      </w:r>
    </w:p>
    <w:p>
      <w:pPr>
        <w:pStyle w:val="Normal"/>
        <w:numPr>
          <w:ilvl w:val="0"/>
          <w:numId w:val="41"/>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Dostępność terenów rekreacyjnych i infrastruktury sportowej, sprzyjających aktywnemu stylowi życia mieszkańców.</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Ochrona zdrowia w gminie Bychawa zapewnia mieszkańcom podstawowe bezpieczeństwo zdrowotne, jednak wymaga dalszego rozwoju i dostosowania do zmieniających się potrzeb społecznych – zwłaszcza w obszarze starzenia się ludności i zdrowia psychicznego. Kluczowym wyzwaniem jest poprawa dostępności specjalistów, zwiększenie profilaktyki zdrowotnej i integracja działań społecznych z medycznymi. Wspólnota samorządowa dysponuje solidnym potencjałem organizacyjnym i społecznym, który może być podstawą do budowy kompleksowego systemu zdrowia lokalnego.</w:t>
      </w:r>
    </w:p>
    <w:p>
      <w:pPr>
        <w:pStyle w:val="Normal"/>
        <w:spacing w:lineRule="auto" w:line="276"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r>
    </w:p>
    <w:p>
      <w:pPr>
        <w:pStyle w:val="Normal"/>
        <w:spacing w:lineRule="auto" w:line="360" w:before="0" w:after="0"/>
        <w:ind w:firstLine="708"/>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r>
      <w:r>
        <w:br w:type="page"/>
      </w:r>
    </w:p>
    <w:p>
      <w:pPr>
        <w:pStyle w:val="Heading2"/>
        <w:numPr>
          <w:ilvl w:val="1"/>
          <w:numId w:val="1"/>
        </w:numPr>
        <w:spacing w:before="0" w:after="80"/>
        <w:jc w:val="both"/>
        <w:rPr>
          <w:rFonts w:ascii="Arial" w:hAnsi="Arial" w:cs="Arial"/>
          <w:b/>
          <w:bCs/>
          <w:color w:val="00204F"/>
          <w:sz w:val="28"/>
          <w:szCs w:val="28"/>
        </w:rPr>
      </w:pPr>
      <w:bookmarkStart w:id="23" w:name="_Toc211356343"/>
      <w:r>
        <w:rPr>
          <w:rFonts w:cs="Arial" w:ascii="Arial" w:hAnsi="Arial"/>
          <w:b/>
          <w:bCs/>
          <w:color w:val="00204F"/>
          <w:sz w:val="28"/>
          <w:szCs w:val="28"/>
        </w:rPr>
        <w:t>Stan realizacji usług społecznych w  Gminie Bychawa przed utworzeniem Centrum Usług Społecznych</w:t>
      </w:r>
      <w:bookmarkEnd w:id="23"/>
    </w:p>
    <w:p>
      <w:pPr>
        <w:pStyle w:val="Normal"/>
        <w:spacing w:lineRule="auto" w:line="360"/>
        <w:ind w:firstLine="708"/>
        <w:jc w:val="both"/>
        <w:rPr>
          <w:rFonts w:ascii="Arial" w:hAnsi="Arial" w:cs="Arial"/>
        </w:rPr>
      </w:pPr>
      <w:r>
        <w:rPr>
          <w:rFonts w:cs="Arial" w:ascii="Arial" w:hAnsi="Arial"/>
        </w:rPr>
        <w:t xml:space="preserve">Kluczową jednostką zapewniającą dotychczas najszerszy zakres wsparcia i usług społecznych dla mieszkańców zamieszkujących na terenie Gminy Bychawa jest Ośrodek Pomocy Społecznej w Bychawie. Ośrodek jest inicjatorem, organizatorem i realizatorem rożnych form wsparcia i pomocy z uwzględnieniem nie tylko usług, ale też świadczeń finansowych, pomocy doradczej, informacyjnej i konsultacyjnej. </w:t>
      </w:r>
    </w:p>
    <w:p>
      <w:pPr>
        <w:pStyle w:val="Normal"/>
        <w:spacing w:lineRule="auto" w:line="360"/>
        <w:ind w:firstLine="708"/>
        <w:jc w:val="both"/>
        <w:rPr>
          <w:rFonts w:ascii="Arial" w:hAnsi="Arial" w:cs="Arial"/>
        </w:rPr>
      </w:pPr>
      <w:r>
        <w:rPr>
          <w:rFonts w:cs="Arial" w:ascii="Arial" w:hAnsi="Arial"/>
        </w:rPr>
        <w:t xml:space="preserve">Poddana analizie działalność Ośrodka Pomocy Społecznej odzwierciedla nie tylko rodzaje wsparcia, w tym usługi społeczne, ale też kategorie obecnych i potencjalnych odbiorców usług społecznych, które mogą być organizowane w przyszłości. </w:t>
      </w:r>
    </w:p>
    <w:p>
      <w:pPr>
        <w:pStyle w:val="Caption"/>
        <w:keepNext w:val="true"/>
        <w:rPr/>
      </w:pPr>
      <w:bookmarkStart w:id="24" w:name="_Toc211277034"/>
      <w:r>
        <w:rPr/>
        <w:t xml:space="preserve">Tabela </w:t>
      </w:r>
      <w:r>
        <w:rPr/>
        <w:fldChar w:fldCharType="begin"/>
      </w:r>
      <w:r>
        <w:rPr/>
        <w:instrText xml:space="preserve"> SEQ Tabela \* ARABIC </w:instrText>
      </w:r>
      <w:r>
        <w:rPr/>
        <w:fldChar w:fldCharType="separate"/>
      </w:r>
      <w:r>
        <w:rPr/>
        <w:t>1</w:t>
      </w:r>
      <w:r>
        <w:rPr/>
        <w:fldChar w:fldCharType="end"/>
      </w:r>
      <w:r>
        <w:rPr/>
        <w:t>. Zestawienie liczby rodzin z obszaru Gminy Bychawa korzystających z systemu wsparcia oferowanego przez Ośrodek Pomocy Społecznej w latach 2005-2025</w:t>
      </w:r>
      <w:bookmarkEnd w:id="24"/>
    </w:p>
    <w:tbl>
      <w:tblPr>
        <w:tblStyle w:val="Tabela-Siatka"/>
        <w:tblW w:w="90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97"/>
        <w:gridCol w:w="1133"/>
        <w:gridCol w:w="1135"/>
        <w:gridCol w:w="1134"/>
        <w:gridCol w:w="1133"/>
        <w:gridCol w:w="1134"/>
      </w:tblGrid>
      <w:tr>
        <w:trPr/>
        <w:tc>
          <w:tcPr>
            <w:tcW w:w="3397" w:type="dxa"/>
            <w:tcBorders/>
            <w:shd w:color="auto" w:fill="629DD1" w:themeFill="accent2" w:val="clear"/>
          </w:tcPr>
          <w:p>
            <w:pPr>
              <w:pStyle w:val="Normal"/>
              <w:widowControl/>
              <w:suppressAutoHyphens w:val="true"/>
              <w:spacing w:lineRule="auto" w:line="360" w:before="0" w:after="0"/>
              <w:jc w:val="center"/>
              <w:rPr>
                <w:rFonts w:ascii="Arial" w:hAnsi="Arial" w:cs="Arial"/>
                <w:b/>
                <w:bCs/>
              </w:rPr>
            </w:pPr>
            <w:r>
              <mc:AlternateContent>
                <mc:Choice Requires="wps">
                  <w:drawing>
                    <wp:anchor behindDoc="0" distT="3175" distB="3175" distL="1270" distR="1270" simplePos="0" locked="0" layoutInCell="1" allowOverlap="1" relativeHeight="125" wp14:anchorId="5244BD8E">
                      <wp:simplePos x="0" y="0"/>
                      <wp:positionH relativeFrom="column">
                        <wp:posOffset>-47625</wp:posOffset>
                      </wp:positionH>
                      <wp:positionV relativeFrom="paragraph">
                        <wp:posOffset>28575</wp:posOffset>
                      </wp:positionV>
                      <wp:extent cx="2105025" cy="705485"/>
                      <wp:effectExtent l="1270" t="3175" r="1270" b="3175"/>
                      <wp:wrapNone/>
                      <wp:docPr id="10" name="Łącznik prosty 1"/>
                      <a:graphic xmlns:a="http://schemas.openxmlformats.org/drawingml/2006/main">
                        <a:graphicData uri="http://schemas.microsoft.com/office/word/2010/wordprocessingShape">
                          <wps:wsp>
                            <wps:cNvSpPr/>
                            <wps:spPr>
                              <a:xfrm>
                                <a:off x="0" y="0"/>
                                <a:ext cx="2104920" cy="705600"/>
                              </a:xfrm>
                              <a:prstGeom prst="line">
                                <a:avLst/>
                              </a:prstGeom>
                              <a:ln>
                                <a:solidFill>
                                  <a:srgbClr val="4a66ac"/>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75pt,2.25pt" to="161.95pt,57.75pt" ID="Łącznik prosty 1" stroked="t" o:allowincell="t" style="position:absolute" wp14:anchorId="5244BD8E">
                      <v:stroke color="#4a66ac" weight="6480" joinstyle="miter" endcap="flat"/>
                      <v:fill o:detectmouseclick="t" on="false"/>
                      <w10:wrap type="none"/>
                    </v:line>
                  </w:pict>
                </mc:Fallback>
              </mc:AlternateContent>
            </w:r>
            <w:r>
              <w:rPr>
                <w:rFonts w:eastAsia="Aptos" w:cs="Arial" w:ascii="Arial" w:hAnsi="Arial"/>
                <w:b/>
                <w:bCs/>
                <w:kern w:val="2"/>
                <w:sz w:val="24"/>
                <w:szCs w:val="24"/>
                <w:lang w:val="pl-PL" w:eastAsia="en-US" w:bidi="ar-SA"/>
              </w:rPr>
              <w:t>Rok</w:t>
            </w:r>
          </w:p>
          <w:p>
            <w:pPr>
              <w:pStyle w:val="Normal"/>
              <w:widowControl/>
              <w:suppressAutoHyphens w:val="true"/>
              <w:spacing w:lineRule="auto" w:line="360" w:before="0" w:after="0"/>
              <w:jc w:val="center"/>
              <w:rPr>
                <w:rFonts w:ascii="Arial" w:hAnsi="Arial" w:cs="Arial"/>
                <w:b/>
                <w:bCs/>
              </w:rPr>
            </w:pPr>
            <w:r>
              <w:rPr>
                <w:rFonts w:cs="Arial" w:ascii="Arial" w:hAnsi="Arial"/>
                <w:b/>
                <w:bCs/>
              </w:rPr>
            </w:r>
          </w:p>
          <w:p>
            <w:pPr>
              <w:pStyle w:val="Normal"/>
              <w:widowControl/>
              <w:suppressAutoHyphens w:val="true"/>
              <w:spacing w:lineRule="auto" w:line="360" w:before="0" w:after="0"/>
              <w:jc w:val="both"/>
              <w:rPr>
                <w:rFonts w:ascii="Arial" w:hAnsi="Arial" w:cs="Arial"/>
                <w:b/>
                <w:bCs/>
              </w:rPr>
            </w:pPr>
            <w:r>
              <w:rPr>
                <w:rFonts w:eastAsia="Aptos" w:cs="Arial" w:ascii="Arial" w:hAnsi="Arial"/>
                <w:b/>
                <w:bCs/>
                <w:kern w:val="2"/>
                <w:sz w:val="24"/>
                <w:szCs w:val="24"/>
                <w:lang w:val="pl-PL" w:eastAsia="en-US" w:bidi="ar-SA"/>
              </w:rPr>
              <w:t>Problem społeczny</w:t>
            </w:r>
          </w:p>
        </w:tc>
        <w:tc>
          <w:tcPr>
            <w:tcW w:w="1133" w:type="dxa"/>
            <w:tcBorders/>
            <w:shd w:color="auto" w:fill="629DD1" w:themeFill="accent2" w:val="clear"/>
          </w:tcPr>
          <w:p>
            <w:pPr>
              <w:pStyle w:val="Normal"/>
              <w:widowControl/>
              <w:suppressAutoHyphens w:val="true"/>
              <w:spacing w:lineRule="auto" w:line="360" w:before="0" w:after="0"/>
              <w:jc w:val="center"/>
              <w:rPr>
                <w:rFonts w:ascii="Arial" w:hAnsi="Arial" w:cs="Arial"/>
                <w:b/>
                <w:bCs/>
              </w:rPr>
            </w:pPr>
            <w:r>
              <w:rPr>
                <w:rFonts w:eastAsia="Aptos" w:cs="Arial" w:ascii="Arial" w:hAnsi="Arial"/>
                <w:b/>
                <w:bCs/>
                <w:kern w:val="2"/>
                <w:sz w:val="24"/>
                <w:szCs w:val="24"/>
                <w:lang w:val="pl-PL" w:eastAsia="en-US" w:bidi="ar-SA"/>
              </w:rPr>
              <w:t>2020</w:t>
            </w:r>
          </w:p>
        </w:tc>
        <w:tc>
          <w:tcPr>
            <w:tcW w:w="1135" w:type="dxa"/>
            <w:tcBorders/>
            <w:shd w:color="auto" w:fill="629DD1" w:themeFill="accent2" w:val="clear"/>
          </w:tcPr>
          <w:p>
            <w:pPr>
              <w:pStyle w:val="Normal"/>
              <w:widowControl/>
              <w:suppressAutoHyphens w:val="true"/>
              <w:spacing w:lineRule="auto" w:line="360" w:before="0" w:after="0"/>
              <w:jc w:val="center"/>
              <w:rPr>
                <w:rFonts w:ascii="Arial" w:hAnsi="Arial" w:cs="Arial"/>
                <w:b/>
                <w:bCs/>
              </w:rPr>
            </w:pPr>
            <w:r>
              <w:rPr>
                <w:rFonts w:eastAsia="Aptos" w:cs="Arial" w:ascii="Arial" w:hAnsi="Arial"/>
                <w:b/>
                <w:bCs/>
                <w:kern w:val="2"/>
                <w:sz w:val="24"/>
                <w:szCs w:val="24"/>
                <w:lang w:val="pl-PL" w:eastAsia="en-US" w:bidi="ar-SA"/>
              </w:rPr>
              <w:t>2021</w:t>
            </w:r>
          </w:p>
        </w:tc>
        <w:tc>
          <w:tcPr>
            <w:tcW w:w="1134" w:type="dxa"/>
            <w:tcBorders/>
            <w:shd w:color="auto" w:fill="629DD1" w:themeFill="accent2" w:val="clear"/>
          </w:tcPr>
          <w:p>
            <w:pPr>
              <w:pStyle w:val="Normal"/>
              <w:widowControl/>
              <w:suppressAutoHyphens w:val="true"/>
              <w:spacing w:lineRule="auto" w:line="360" w:before="0" w:after="0"/>
              <w:jc w:val="center"/>
              <w:rPr>
                <w:rFonts w:ascii="Arial" w:hAnsi="Arial" w:cs="Arial"/>
                <w:b/>
                <w:bCs/>
              </w:rPr>
            </w:pPr>
            <w:r>
              <w:rPr>
                <w:rFonts w:eastAsia="Aptos" w:cs="Arial" w:ascii="Arial" w:hAnsi="Arial"/>
                <w:b/>
                <w:bCs/>
                <w:kern w:val="2"/>
                <w:sz w:val="24"/>
                <w:szCs w:val="24"/>
                <w:lang w:val="pl-PL" w:eastAsia="en-US" w:bidi="ar-SA"/>
              </w:rPr>
              <w:t>2022</w:t>
            </w:r>
          </w:p>
        </w:tc>
        <w:tc>
          <w:tcPr>
            <w:tcW w:w="1133" w:type="dxa"/>
            <w:tcBorders/>
            <w:shd w:color="auto" w:fill="629DD1" w:themeFill="accent2" w:val="clear"/>
          </w:tcPr>
          <w:p>
            <w:pPr>
              <w:pStyle w:val="Normal"/>
              <w:widowControl/>
              <w:suppressAutoHyphens w:val="true"/>
              <w:spacing w:lineRule="auto" w:line="360" w:before="0" w:after="0"/>
              <w:jc w:val="center"/>
              <w:rPr>
                <w:rFonts w:ascii="Arial" w:hAnsi="Arial" w:cs="Arial"/>
                <w:b/>
                <w:bCs/>
              </w:rPr>
            </w:pPr>
            <w:r>
              <w:rPr>
                <w:rFonts w:eastAsia="Aptos" w:cs="Arial" w:ascii="Arial" w:hAnsi="Arial"/>
                <w:b/>
                <w:bCs/>
                <w:kern w:val="2"/>
                <w:sz w:val="24"/>
                <w:szCs w:val="24"/>
                <w:lang w:val="pl-PL" w:eastAsia="en-US" w:bidi="ar-SA"/>
              </w:rPr>
              <w:t>2023</w:t>
            </w:r>
          </w:p>
        </w:tc>
        <w:tc>
          <w:tcPr>
            <w:tcW w:w="1134" w:type="dxa"/>
            <w:tcBorders/>
            <w:shd w:color="auto" w:fill="629DD1" w:themeFill="accent2" w:val="clear"/>
          </w:tcPr>
          <w:p>
            <w:pPr>
              <w:pStyle w:val="Normal"/>
              <w:widowControl/>
              <w:suppressAutoHyphens w:val="true"/>
              <w:spacing w:lineRule="auto" w:line="360" w:before="0" w:after="0"/>
              <w:jc w:val="center"/>
              <w:rPr>
                <w:rFonts w:ascii="Arial" w:hAnsi="Arial" w:cs="Arial"/>
                <w:b/>
                <w:bCs/>
              </w:rPr>
            </w:pPr>
            <w:r>
              <w:rPr>
                <w:rFonts w:eastAsia="Aptos" w:cs="Arial" w:ascii="Arial" w:hAnsi="Arial"/>
                <w:b/>
                <w:bCs/>
                <w:kern w:val="2"/>
                <w:sz w:val="24"/>
                <w:szCs w:val="24"/>
                <w:lang w:val="pl-PL" w:eastAsia="en-US" w:bidi="ar-SA"/>
              </w:rPr>
              <w:t>2024</w:t>
            </w:r>
          </w:p>
        </w:tc>
      </w:tr>
      <w:tr>
        <w:trPr/>
        <w:tc>
          <w:tcPr>
            <w:tcW w:w="3397" w:type="dxa"/>
            <w:tcBorders/>
          </w:tcPr>
          <w:p>
            <w:pPr>
              <w:pStyle w:val="Normal"/>
              <w:widowControl/>
              <w:suppressAutoHyphens w:val="true"/>
              <w:spacing w:lineRule="auto" w:line="360" w:before="0" w:after="0"/>
              <w:jc w:val="left"/>
              <w:rPr>
                <w:rFonts w:ascii="Arial" w:hAnsi="Arial" w:cs="Arial"/>
              </w:rPr>
            </w:pPr>
            <w:r>
              <w:rPr>
                <w:rFonts w:eastAsia="Aptos" w:cs="Arial" w:ascii="Arial" w:hAnsi="Arial"/>
                <w:kern w:val="2"/>
                <w:sz w:val="24"/>
                <w:szCs w:val="24"/>
                <w:lang w:val="pl-PL" w:eastAsia="en-US" w:bidi="ar-SA"/>
              </w:rPr>
              <w:t>ubóstwo</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137</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134</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147</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122</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109</w:t>
            </w:r>
          </w:p>
        </w:tc>
      </w:tr>
      <w:tr>
        <w:trPr/>
        <w:tc>
          <w:tcPr>
            <w:tcW w:w="3397" w:type="dxa"/>
            <w:tcBorders/>
          </w:tcPr>
          <w:p>
            <w:pPr>
              <w:pStyle w:val="Normal"/>
              <w:widowControl/>
              <w:suppressAutoHyphens w:val="true"/>
              <w:spacing w:lineRule="auto" w:line="360" w:before="0" w:after="0"/>
              <w:jc w:val="left"/>
              <w:rPr>
                <w:rFonts w:ascii="Arial" w:hAnsi="Arial" w:cs="Arial"/>
              </w:rPr>
            </w:pPr>
            <w:r>
              <w:rPr>
                <w:rFonts w:eastAsia="Aptos" w:cs="Arial" w:ascii="Arial" w:hAnsi="Arial"/>
                <w:kern w:val="2"/>
                <w:sz w:val="24"/>
                <w:szCs w:val="24"/>
                <w:lang w:val="pl-PL" w:eastAsia="en-US" w:bidi="ar-SA"/>
              </w:rPr>
              <w:t>sieroctwo</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3</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w:t>
            </w:r>
          </w:p>
        </w:tc>
      </w:tr>
      <w:tr>
        <w:trPr/>
        <w:tc>
          <w:tcPr>
            <w:tcW w:w="3397" w:type="dxa"/>
            <w:tcBorders/>
          </w:tcPr>
          <w:p>
            <w:pPr>
              <w:pStyle w:val="Normal"/>
              <w:widowControl/>
              <w:suppressAutoHyphens w:val="true"/>
              <w:spacing w:lineRule="auto" w:line="360" w:before="0" w:after="0"/>
              <w:jc w:val="left"/>
              <w:rPr>
                <w:rFonts w:ascii="Arial" w:hAnsi="Arial" w:cs="Arial"/>
              </w:rPr>
            </w:pPr>
            <w:r>
              <w:rPr>
                <w:rFonts w:eastAsia="Aptos" w:cs="Arial" w:ascii="Arial" w:hAnsi="Arial"/>
                <w:kern w:val="2"/>
                <w:sz w:val="24"/>
                <w:szCs w:val="24"/>
                <w:lang w:val="pl-PL" w:eastAsia="en-US" w:bidi="ar-SA"/>
              </w:rPr>
              <w:t>bezdomność</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3397" w:type="dxa"/>
            <w:tcBorders/>
          </w:tcPr>
          <w:p>
            <w:pPr>
              <w:pStyle w:val="Normal"/>
              <w:widowControl/>
              <w:suppressAutoHyphens w:val="true"/>
              <w:spacing w:lineRule="auto" w:line="360" w:before="0" w:after="0"/>
              <w:jc w:val="left"/>
              <w:rPr>
                <w:rFonts w:ascii="Arial" w:hAnsi="Arial" w:cs="Arial"/>
              </w:rPr>
            </w:pPr>
            <w:r>
              <w:rPr>
                <w:rFonts w:eastAsia="Aptos" w:cs="Arial" w:ascii="Arial" w:hAnsi="Arial"/>
                <w:kern w:val="2"/>
                <w:sz w:val="24"/>
                <w:szCs w:val="24"/>
                <w:lang w:val="pl-PL" w:eastAsia="en-US" w:bidi="ar-SA"/>
              </w:rPr>
              <w:t>potrzeba ochrony macierzyństwa</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30</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22</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16</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15</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17</w:t>
            </w:r>
          </w:p>
        </w:tc>
      </w:tr>
      <w:tr>
        <w:trPr/>
        <w:tc>
          <w:tcPr>
            <w:tcW w:w="3397" w:type="dxa"/>
            <w:tcBorders/>
          </w:tcPr>
          <w:p>
            <w:pPr>
              <w:pStyle w:val="Normal"/>
              <w:widowControl/>
              <w:suppressAutoHyphens w:val="true"/>
              <w:spacing w:lineRule="auto" w:line="360" w:before="0" w:after="0"/>
              <w:jc w:val="left"/>
              <w:rPr>
                <w:rFonts w:ascii="Arial" w:hAnsi="Arial" w:cs="Arial"/>
              </w:rPr>
            </w:pPr>
            <w:r>
              <w:rPr>
                <w:rFonts w:eastAsia="Aptos" w:cs="Arial" w:ascii="Arial" w:hAnsi="Arial"/>
                <w:kern w:val="2"/>
                <w:sz w:val="24"/>
                <w:szCs w:val="24"/>
                <w:lang w:val="pl-PL" w:eastAsia="en-US" w:bidi="ar-SA"/>
              </w:rPr>
              <w:t>bezrobocie</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88</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88</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77</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72</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67</w:t>
            </w:r>
          </w:p>
        </w:tc>
      </w:tr>
      <w:tr>
        <w:trPr/>
        <w:tc>
          <w:tcPr>
            <w:tcW w:w="3397" w:type="dxa"/>
            <w:tcBorders/>
          </w:tcPr>
          <w:p>
            <w:pPr>
              <w:pStyle w:val="Normal"/>
              <w:widowControl/>
              <w:suppressAutoHyphens w:val="true"/>
              <w:spacing w:lineRule="auto" w:line="360" w:before="0" w:after="0"/>
              <w:jc w:val="left"/>
              <w:rPr>
                <w:rFonts w:ascii="Arial" w:hAnsi="Arial" w:cs="Arial"/>
              </w:rPr>
            </w:pPr>
            <w:r>
              <w:rPr>
                <w:rFonts w:eastAsia="Aptos" w:cs="Arial" w:ascii="Arial" w:hAnsi="Arial"/>
                <w:kern w:val="2"/>
                <w:sz w:val="24"/>
                <w:szCs w:val="24"/>
                <w:lang w:val="pl-PL" w:eastAsia="en-US" w:bidi="ar-SA"/>
              </w:rPr>
              <w:t>niepełnosprawność</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84</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89</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87</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86</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73</w:t>
            </w:r>
          </w:p>
        </w:tc>
      </w:tr>
      <w:tr>
        <w:trPr/>
        <w:tc>
          <w:tcPr>
            <w:tcW w:w="3397" w:type="dxa"/>
            <w:tcBorders/>
          </w:tcPr>
          <w:p>
            <w:pPr>
              <w:pStyle w:val="Normal"/>
              <w:widowControl/>
              <w:suppressAutoHyphens w:val="true"/>
              <w:spacing w:lineRule="auto" w:line="360" w:before="0" w:after="0"/>
              <w:jc w:val="left"/>
              <w:rPr>
                <w:rFonts w:ascii="Arial" w:hAnsi="Arial" w:cs="Arial"/>
              </w:rPr>
            </w:pPr>
            <w:r>
              <w:rPr>
                <w:rFonts w:eastAsia="Aptos" w:cs="Arial" w:ascii="Arial" w:hAnsi="Arial"/>
                <w:kern w:val="2"/>
                <w:sz w:val="24"/>
                <w:szCs w:val="24"/>
                <w:lang w:val="pl-PL" w:eastAsia="en-US" w:bidi="ar-SA"/>
              </w:rPr>
              <w:t>długotrwała lub ciężka choroba</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92</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81</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60</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68</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52</w:t>
            </w:r>
          </w:p>
        </w:tc>
      </w:tr>
      <w:tr>
        <w:trPr/>
        <w:tc>
          <w:tcPr>
            <w:tcW w:w="3397" w:type="dxa"/>
            <w:tcBorders/>
          </w:tcPr>
          <w:p>
            <w:pPr>
              <w:pStyle w:val="Normal"/>
              <w:widowControl/>
              <w:suppressAutoHyphens w:val="true"/>
              <w:spacing w:lineRule="auto" w:line="360" w:before="0" w:after="0"/>
              <w:jc w:val="left"/>
              <w:rPr>
                <w:rFonts w:ascii="Arial" w:hAnsi="Arial" w:cs="Arial"/>
                <w:i/>
                <w:i/>
                <w:iCs/>
              </w:rPr>
            </w:pPr>
            <w:r>
              <w:rPr>
                <w:rFonts w:eastAsia="Times New Roman" w:cs="Arial" w:ascii="Arial" w:hAnsi="Arial"/>
                <w:kern w:val="0"/>
                <w:sz w:val="24"/>
                <w:szCs w:val="24"/>
                <w:lang w:val="pl-PL" w:eastAsia="pl-PL" w:bidi="ar-SA"/>
                <w14:ligatures w14:val="none"/>
              </w:rPr>
              <w:t>bezradność w sprawach opiekuńczo-wychowawczych i prowadzeniu gospodarstwa domowego</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16</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14</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17</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19</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11</w:t>
            </w:r>
          </w:p>
        </w:tc>
      </w:tr>
      <w:tr>
        <w:trPr/>
        <w:tc>
          <w:tcPr>
            <w:tcW w:w="3397" w:type="dxa"/>
            <w:tcBorders/>
          </w:tcPr>
          <w:p>
            <w:pPr>
              <w:pStyle w:val="Normal"/>
              <w:widowControl/>
              <w:suppressAutoHyphens w:val="true"/>
              <w:spacing w:lineRule="auto" w:line="360" w:before="0" w:after="0"/>
              <w:jc w:val="left"/>
              <w:rPr>
                <w:rFonts w:ascii="Arial" w:hAnsi="Arial" w:cs="Arial"/>
                <w:i/>
                <w:i/>
                <w:iCs/>
              </w:rPr>
            </w:pPr>
            <w:r>
              <w:rPr>
                <w:rFonts w:eastAsia="Times New Roman" w:cs="Arial" w:ascii="Arial" w:hAnsi="Arial"/>
                <w:kern w:val="0"/>
                <w:sz w:val="24"/>
                <w:szCs w:val="24"/>
                <w:lang w:val="pl-PL" w:eastAsia="pl-PL" w:bidi="ar-SA"/>
                <w14:ligatures w14:val="none"/>
              </w:rPr>
              <w:t>przemoc w rodzinie</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w:t>
            </w:r>
          </w:p>
        </w:tc>
      </w:tr>
      <w:tr>
        <w:trPr/>
        <w:tc>
          <w:tcPr>
            <w:tcW w:w="3397" w:type="dxa"/>
            <w:tcBorders/>
          </w:tcPr>
          <w:p>
            <w:pPr>
              <w:pStyle w:val="Normal"/>
              <w:widowControl/>
              <w:suppressAutoHyphens w:val="true"/>
              <w:spacing w:lineRule="auto" w:line="360" w:before="0" w:after="0"/>
              <w:jc w:val="left"/>
              <w:rPr>
                <w:rFonts w:ascii="Arial" w:hAnsi="Arial" w:cs="Arial"/>
                <w:i/>
                <w:i/>
                <w:iCs/>
              </w:rPr>
            </w:pPr>
            <w:r>
              <w:rPr>
                <w:rFonts w:eastAsia="Times New Roman" w:cs="Arial" w:ascii="Arial" w:hAnsi="Arial"/>
                <w:kern w:val="0"/>
                <w:sz w:val="24"/>
                <w:szCs w:val="24"/>
                <w:lang w:val="pl-PL" w:eastAsia="pl-PL" w:bidi="ar-SA"/>
                <w14:ligatures w14:val="none"/>
              </w:rPr>
              <w:t>potrzeba ochrony ofiar handlu ludźmi</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3397" w:type="dxa"/>
            <w:tcBorders/>
          </w:tcPr>
          <w:p>
            <w:pPr>
              <w:pStyle w:val="Normal"/>
              <w:widowControl/>
              <w:suppressAutoHyphens w:val="true"/>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sz w:val="24"/>
                <w:szCs w:val="24"/>
                <w:lang w:val="pl-PL" w:eastAsia="pl-PL" w:bidi="ar-SA"/>
                <w14:ligatures w14:val="none"/>
              </w:rPr>
              <w:t>alkoholizm</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7</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7</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7</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5</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5</w:t>
            </w:r>
          </w:p>
        </w:tc>
      </w:tr>
      <w:tr>
        <w:trPr/>
        <w:tc>
          <w:tcPr>
            <w:tcW w:w="3397" w:type="dxa"/>
            <w:tcBorders/>
          </w:tcPr>
          <w:p>
            <w:pPr>
              <w:pStyle w:val="Normal"/>
              <w:widowControl/>
              <w:suppressAutoHyphens w:val="true"/>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sz w:val="24"/>
                <w:szCs w:val="24"/>
                <w:lang w:val="pl-PL" w:eastAsia="pl-PL" w:bidi="ar-SA"/>
                <w14:ligatures w14:val="none"/>
              </w:rPr>
              <w:t>narkomania</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w:t>
            </w:r>
          </w:p>
        </w:tc>
      </w:tr>
      <w:tr>
        <w:trPr/>
        <w:tc>
          <w:tcPr>
            <w:tcW w:w="3397" w:type="dxa"/>
            <w:tcBorders/>
          </w:tcPr>
          <w:p>
            <w:pPr>
              <w:pStyle w:val="Normal"/>
              <w:widowControl/>
              <w:suppressAutoHyphens w:val="true"/>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sz w:val="24"/>
                <w:szCs w:val="24"/>
                <w:lang w:val="pl-PL" w:eastAsia="pl-PL" w:bidi="ar-SA"/>
                <w14:ligatures w14:val="none"/>
              </w:rPr>
              <w:t xml:space="preserve">trudności w przystosowaniu do życia po zwolnieniu </w:t>
              <w:br/>
              <w:t>z zakładu karnego</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4</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3</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4</w:t>
            </w:r>
          </w:p>
        </w:tc>
      </w:tr>
      <w:tr>
        <w:trPr/>
        <w:tc>
          <w:tcPr>
            <w:tcW w:w="3397" w:type="dxa"/>
            <w:tcBorders/>
          </w:tcPr>
          <w:p>
            <w:pPr>
              <w:pStyle w:val="Normal"/>
              <w:widowControl/>
              <w:suppressAutoHyphens w:val="true"/>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sz w:val="24"/>
                <w:szCs w:val="24"/>
                <w:lang w:val="pl-PL" w:eastAsia="pl-PL" w:bidi="ar-SA"/>
                <w14:ligatures w14:val="none"/>
              </w:rPr>
              <w:t>trudności w integracji osób, które otrzymały status uchodźcy, ochronę uzupełniającą lub zezwolenie na pobyt czasowy (art. 7 pkt 11 ustawy o pomocy społ.)</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3397" w:type="dxa"/>
            <w:tcBorders/>
          </w:tcPr>
          <w:p>
            <w:pPr>
              <w:pStyle w:val="Normal"/>
              <w:widowControl/>
              <w:suppressAutoHyphens w:val="true"/>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sz w:val="24"/>
                <w:szCs w:val="24"/>
                <w:lang w:val="pl-PL" w:eastAsia="pl-PL" w:bidi="ar-SA"/>
                <w14:ligatures w14:val="none"/>
              </w:rPr>
              <w:t>zdarzenie losowe</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22</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3</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14</w:t>
            </w:r>
          </w:p>
        </w:tc>
      </w:tr>
      <w:tr>
        <w:trPr/>
        <w:tc>
          <w:tcPr>
            <w:tcW w:w="3397" w:type="dxa"/>
            <w:tcBorders/>
          </w:tcPr>
          <w:p>
            <w:pPr>
              <w:pStyle w:val="Normal"/>
              <w:widowControl/>
              <w:suppressAutoHyphens w:val="true"/>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sz w:val="24"/>
                <w:szCs w:val="24"/>
                <w:lang w:val="pl-PL" w:eastAsia="pl-PL" w:bidi="ar-SA"/>
                <w14:ligatures w14:val="none"/>
              </w:rPr>
              <w:t>sytuacja kryzysowa</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3397" w:type="dxa"/>
            <w:tcBorders/>
          </w:tcPr>
          <w:p>
            <w:pPr>
              <w:pStyle w:val="Normal"/>
              <w:widowControl/>
              <w:suppressAutoHyphens w:val="true"/>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sz w:val="24"/>
                <w:szCs w:val="24"/>
                <w:lang w:val="pl-PL" w:eastAsia="pl-PL" w:bidi="ar-SA"/>
                <w14:ligatures w14:val="none"/>
              </w:rPr>
              <w:t>klęska żywiołowa lub ekologiczna</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5"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3"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134" w:type="dxa"/>
            <w:tcBorders/>
          </w:tcPr>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bl>
    <w:p>
      <w:pPr>
        <w:pStyle w:val="Normal"/>
        <w:spacing w:lineRule="auto" w:line="360"/>
        <w:jc w:val="both"/>
        <w:rPr>
          <w:rFonts w:ascii="Arial" w:hAnsi="Arial" w:cs="Arial"/>
          <w:i/>
          <w:i/>
          <w:iCs/>
        </w:rPr>
      </w:pPr>
      <w:r>
        <w:rPr>
          <w:rFonts w:cs="Arial" w:ascii="Arial" w:hAnsi="Arial"/>
          <w:i/>
          <w:iCs/>
        </w:rPr>
        <w:t>Źródło: opracowanie własne na podstawie sprawozdań MPiPS -03</w:t>
      </w:r>
    </w:p>
    <w:p>
      <w:pPr>
        <w:pStyle w:val="Normal"/>
        <w:spacing w:lineRule="auto" w:line="360"/>
        <w:ind w:firstLine="708"/>
        <w:jc w:val="both"/>
        <w:rPr>
          <w:rFonts w:ascii="Arial" w:hAnsi="Arial" w:cs="Arial"/>
        </w:rPr>
      </w:pPr>
      <w:r>
        <w:rPr>
          <w:rFonts w:cs="Arial" w:ascii="Arial" w:hAnsi="Arial"/>
        </w:rPr>
        <w:t xml:space="preserve">W latach 2005-2025 odbiorcy usług wywodzili się głównie ze wskazanych dalej grup problemowych. Analiza tego stanu pokazuje katalog problemów z jakimi borykają się mieszkańcy Gminy Bychawa, pokazuje też jak zmieniała się liczebność rodzin doświadczających różnego rodzaju problemów ograniczających możliwość samodzielnego i niezależnego funkcjonowania społecznego. </w:t>
      </w:r>
    </w:p>
    <w:p>
      <w:pPr>
        <w:pStyle w:val="Normal"/>
        <w:spacing w:lineRule="auto" w:line="360"/>
        <w:ind w:firstLine="708"/>
        <w:jc w:val="both"/>
        <w:rPr>
          <w:rFonts w:ascii="Arial" w:hAnsi="Arial" w:cs="Arial"/>
        </w:rPr>
      </w:pPr>
      <w:r>
        <w:rPr>
          <w:rFonts w:cs="Arial" w:ascii="Arial" w:hAnsi="Arial"/>
        </w:rPr>
        <w:t xml:space="preserve">W zestawieniu najwyraźniej widoczny jest problem ubóstwa i trudnych warunków socjalnych w dość licznej grupy. Obecny stan liczebności rodzin obejmowanych wsparciem wskazuje tendencję malejącą z uwagi na szeroki zakres wparcia finansowego gwarantowanego różnymi programami osłonowymi realizowanymi na rzecz najsłabszych ekonomicznie osób i rodzin z poziomu kraju (np. program 800+). Na sytuację ekonomiczną mieszkańców ma też istotny wpływ waloryzacja świadczeń w systemie emerytalno-rentowym, którego beneficjentami jest dość duży odsetek mieszkańców Gminy Bychawa. </w:t>
      </w:r>
    </w:p>
    <w:p>
      <w:pPr>
        <w:pStyle w:val="Normal"/>
        <w:spacing w:lineRule="auto" w:line="360"/>
        <w:ind w:firstLine="708"/>
        <w:jc w:val="both"/>
        <w:rPr>
          <w:rFonts w:ascii="Arial" w:hAnsi="Arial" w:cs="Arial"/>
        </w:rPr>
      </w:pPr>
      <w:r>
        <w:rPr>
          <w:rFonts w:cs="Arial" w:ascii="Arial" w:hAnsi="Arial"/>
        </w:rPr>
        <w:t>Inną wyraźnie widoczną grupą problemową są osoby i rodziny z długotrwałą chorobą. Liczebność tej grupy w formach wsparcia dostarczanych przez Ośrodek Pomocy Społecznej też wskazuje tendencję spadkową, nie oznacza to jednak, że spadek jest skutkiem lepszego stanu zdrowia, a raczej ograniczeń w dostępie do wsparcia wynikających z niespełniania kryterium dochodowego uprawniającego do świadczeń oferowanych w systemie pomocy społecznej.</w:t>
      </w:r>
    </w:p>
    <w:p>
      <w:pPr>
        <w:pStyle w:val="Normal"/>
        <w:spacing w:lineRule="auto" w:line="360"/>
        <w:ind w:firstLine="708"/>
        <w:jc w:val="both"/>
        <w:rPr>
          <w:rFonts w:ascii="Arial" w:hAnsi="Arial" w:cs="Arial"/>
        </w:rPr>
      </w:pPr>
      <w:r>
        <w:rPr>
          <w:rFonts w:cs="Arial" w:ascii="Arial" w:hAnsi="Arial"/>
        </w:rPr>
        <w:t>Podobnie sytuacja kształtuje się w innej kategorii problemowej powiązanych ze stanem zdrowia tj. niepełnosprawnością. Liczna grupa rodzin objęta wsparciem każdego roku potwierdza, że problem jest poważny, wymaga dużego zaangażowania, w tym nakładów finansowych na różne świadczenia, ale też na niezbędne tej grupie usługi społeczne, które mogą znacząco zmienić jakość ich życia i pozwolić na większą aktywność.</w:t>
      </w:r>
    </w:p>
    <w:p>
      <w:pPr>
        <w:pStyle w:val="Normal"/>
        <w:spacing w:lineRule="auto" w:line="360"/>
        <w:ind w:firstLine="708"/>
        <w:jc w:val="both"/>
        <w:rPr>
          <w:rFonts w:ascii="Arial" w:hAnsi="Arial" w:cs="Arial"/>
        </w:rPr>
      </w:pPr>
      <w:r>
        <w:rPr>
          <w:rFonts w:cs="Arial" w:ascii="Arial" w:hAnsi="Arial"/>
        </w:rPr>
        <w:t>Kolejną grupą widoczną w systemie wsparcia są rodziny z problemem bezrobocia. Mimo ogólnie poprawiającej się sytuacji na rynku pracy w Gminie Bychawa ten problem ma jeszcze swoje odzwierciedlenie. Liczebność rodzin korzystających ze wsparcia zmniejsza się bardzo powoli, co jest uwarunkowane niskim wykształceniem osób bezrobotnych, brakiem zasobów finansowych na podwyższanie kwalifikacji czy zdobywanie nowych uprawnień oraz brakiem środków finansowych na koszty dojazdu do miejsc pracy zlokalizowanych poza terenem gminy, np. w odległym o ok.20 km mieście wojewódzkim.</w:t>
      </w:r>
    </w:p>
    <w:p>
      <w:pPr>
        <w:pStyle w:val="Normal"/>
        <w:spacing w:lineRule="auto" w:line="360"/>
        <w:ind w:firstLine="708"/>
        <w:jc w:val="both"/>
        <w:rPr>
          <w:rFonts w:ascii="Arial" w:hAnsi="Arial" w:cs="Arial"/>
        </w:rPr>
      </w:pPr>
      <w:r>
        <w:rPr>
          <w:rFonts w:cs="Arial" w:ascii="Arial" w:hAnsi="Arial"/>
        </w:rPr>
        <w:t>Grupą widoczną wśród beneficjentów pomocy społecznej są też rodziny z problemami w zakresie ochrony macierzyństwa oraz rodziny, w których pojawiają się trudności opiekuńcze i wychowawcze. W obydwu tych kategoriach obserwuje się tendencję spadkową, ale kwestie wsparcia rodzin, ich wsparcia i gwarancji lepszych warunków wychowania dzieci są kluczowych obszarem zainteresowania obecnych służb pomocy społecznej.</w:t>
      </w:r>
    </w:p>
    <w:p>
      <w:pPr>
        <w:pStyle w:val="Normal"/>
        <w:spacing w:lineRule="auto" w:line="360"/>
        <w:ind w:firstLine="708"/>
        <w:jc w:val="both"/>
        <w:rPr>
          <w:rFonts w:ascii="Arial" w:hAnsi="Arial" w:cs="Arial"/>
        </w:rPr>
      </w:pPr>
      <w:r>
        <w:rPr>
          <w:rFonts w:cs="Arial" w:ascii="Arial" w:hAnsi="Arial"/>
        </w:rPr>
        <w:t>Wskazane wyżej grupy problemowe, obejmowane wsparciem Ośrodka Pomocy Społecznej są potencjalną grupą odbiorców różnorodnych usług społecznych, uzupełniających dotychczas oferowany system wsparcia. Dalsza szczegółowa identyfikacja problemów życiowych grup, osób i rodzin obejmowanych wsparciem może zagwarantować określenie potencjalnych nabywców przyszłych usług społecznych, może pokazać priorytetowe obszary organizacji usług, może też pokazać kierunki działań przyszłego Centrum Usług Społecznych w zakresie organizowania wsparcia innego niż usługi społeczne.</w:t>
      </w:r>
    </w:p>
    <w:p>
      <w:pPr>
        <w:pStyle w:val="Normal"/>
        <w:spacing w:lineRule="auto" w:line="360"/>
        <w:ind w:firstLine="708"/>
        <w:jc w:val="both"/>
        <w:rPr>
          <w:rFonts w:ascii="Arial" w:hAnsi="Arial" w:cs="Arial"/>
        </w:rPr>
      </w:pPr>
      <w:r>
        <w:rPr>
          <w:rFonts w:cs="Arial" w:ascii="Arial" w:hAnsi="Arial"/>
        </w:rPr>
        <w:t xml:space="preserve">Proces identyfikacji obszarów funkcjonowania osób i rodzin - obecnych klientów Ośrodka Pomocy Społecznej, w których może pojawić się zapotrzebowanie na usługi społeczne wymagać będzie ścisłej współpracy przyszłych pracowników CUS, w tym organizatorów usług społecznych, koordynatorów indywidulanych planów usług z pracownikami socjalnymi realizującymi różne formy wsparcia od finansowych po pracę socjalną. </w:t>
      </w:r>
    </w:p>
    <w:p>
      <w:pPr>
        <w:pStyle w:val="Normal"/>
        <w:spacing w:lineRule="auto" w:line="360"/>
        <w:ind w:firstLine="708"/>
        <w:jc w:val="both"/>
        <w:rPr>
          <w:rFonts w:ascii="Arial" w:hAnsi="Arial" w:cs="Arial"/>
        </w:rPr>
      </w:pPr>
      <w:r>
        <w:rPr>
          <w:rFonts w:cs="Arial" w:ascii="Arial" w:hAnsi="Arial"/>
        </w:rPr>
        <w:t xml:space="preserve">W dalszej części niniejszego rozdziału zaprezentowano usługi realizowane obecnie, kierowane do omawianych wcześniej osób i rodzin, zaliczonych do wskazanych kategorii problemowych. To również pozwoli na rzetelną weryfikację obecnego stanu realizacji usług i określenie działań przyszłościowych. Analiza tego obszaru jest uproszczona w związku ze skromnym katalogiem usług, jakie są obecnie dostępne. Uwarunkowania tego stanu powiązane są z trudną sytuacją kadrową, brakiem specjalistów na lokalnym rynku usług oraz ograniczeniami środków finansowych, które umożliwiłyby zapewnienie lepszych warunków płacowych dla specjalistów i pozyskiwanie ich z okolicznych miejscowości.  </w:t>
      </w:r>
    </w:p>
    <w:p>
      <w:pPr>
        <w:pStyle w:val="Normal"/>
        <w:spacing w:lineRule="auto" w:line="360"/>
        <w:ind w:firstLine="708"/>
        <w:jc w:val="both"/>
        <w:rPr>
          <w:rFonts w:ascii="Arial" w:hAnsi="Arial" w:cs="Arial"/>
        </w:rPr>
      </w:pPr>
      <w:r>
        <w:rPr>
          <w:rFonts w:cs="Arial" w:ascii="Arial" w:hAnsi="Arial"/>
        </w:rPr>
        <w:t xml:space="preserve">Przedstawiony poniżej stan realizacji usług uzasadnia podejmowanie rożnych działań dla zapewnienia jak najszerszego katalogu usług oraz stworzenia jak najlepszych warunków dostępu do usług dla osób i rodzin, którym usługi społeczne mogą znacząco poprawić jakość życia i funkcjonowania w rodzinie oraz </w:t>
        <w:br/>
        <w:t xml:space="preserve">w społeczności lokalnej. </w:t>
      </w:r>
    </w:p>
    <w:p>
      <w:pPr>
        <w:pStyle w:val="Caption"/>
        <w:rPr>
          <w:b/>
          <w:bCs/>
          <w:i w:val="false"/>
          <w:i w:val="false"/>
          <w:iCs w:val="false"/>
        </w:rPr>
      </w:pPr>
      <w:bookmarkStart w:id="25" w:name="_Toc211277035"/>
      <w:r>
        <w:rPr/>
        <w:t xml:space="preserve">Tabela </w:t>
      </w:r>
      <w:r>
        <w:rPr/>
        <w:fldChar w:fldCharType="begin"/>
      </w:r>
      <w:r>
        <w:rPr/>
        <w:instrText xml:space="preserve"> SEQ Tabela \* ARABIC </w:instrText>
      </w:r>
      <w:r>
        <w:rPr/>
        <w:fldChar w:fldCharType="separate"/>
      </w:r>
      <w:r>
        <w:rPr/>
        <w:t>2</w:t>
      </w:r>
      <w:r>
        <w:rPr/>
        <w:fldChar w:fldCharType="end"/>
      </w:r>
      <w:r>
        <w:rPr/>
        <w:t>. Zestawienie liczby osób objętych usługami realizowanymi w ramach wsparcia zapewnianego przez Ośrodka Pomocy Społecznej w Bychawie latach 2020</w:t>
        <w:br/>
        <w:t>-2024</w:t>
      </w:r>
      <w:bookmarkEnd w:id="25"/>
    </w:p>
    <w:tbl>
      <w:tblPr>
        <w:tblStyle w:val="Tabela-Siatk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05"/>
        <w:gridCol w:w="1252"/>
        <w:gridCol w:w="1250"/>
        <w:gridCol w:w="1252"/>
        <w:gridCol w:w="1250"/>
        <w:gridCol w:w="1252"/>
      </w:tblGrid>
      <w:tr>
        <w:trPr>
          <w:trHeight w:val="1682" w:hRule="atLeast"/>
        </w:trPr>
        <w:tc>
          <w:tcPr>
            <w:tcW w:w="2805" w:type="dxa"/>
            <w:tcBorders/>
            <w:shd w:color="auto" w:fill="629DD1" w:themeFill="accent2" w:val="clear"/>
          </w:tcPr>
          <w:p>
            <w:pPr>
              <w:pStyle w:val="Normal"/>
              <w:widowControl/>
              <w:suppressAutoHyphens w:val="true"/>
              <w:spacing w:lineRule="auto" w:line="240" w:before="0" w:after="0"/>
              <w:jc w:val="left"/>
              <w:rPr>
                <w:rFonts w:ascii="Arial" w:hAnsi="Arial" w:cs="Arial"/>
              </w:rPr>
            </w:pPr>
            <w:r>
              <w:rPr>
                <w:rFonts w:cs="Arial" w:ascii="Arial" w:hAnsi="Arial"/>
              </w:rPr>
            </w:r>
          </w:p>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Rok</w:t>
            </w:r>
          </w:p>
          <w:p>
            <w:pPr>
              <w:pStyle w:val="Normal"/>
              <w:widowControl/>
              <w:suppressAutoHyphens w:val="true"/>
              <w:spacing w:lineRule="auto" w:line="240" w:before="0" w:after="0"/>
              <w:jc w:val="left"/>
              <w:rPr>
                <w:rFonts w:ascii="Arial" w:hAnsi="Arial" w:cs="Arial"/>
              </w:rPr>
            </w:pPr>
            <w:r>
              <w:rPr>
                <w:rFonts w:cs="Arial" w:ascii="Arial" w:hAnsi="Arial"/>
              </w:rPr>
              <mc:AlternateContent>
                <mc:Choice Requires="wps">
                  <w:drawing>
                    <wp:anchor behindDoc="0" distT="3175" distB="3810" distL="635" distR="635" simplePos="0" locked="0" layoutInCell="1" allowOverlap="1" relativeHeight="126" wp14:anchorId="2946CB37">
                      <wp:simplePos x="0" y="0"/>
                      <wp:positionH relativeFrom="column">
                        <wp:posOffset>38100</wp:posOffset>
                      </wp:positionH>
                      <wp:positionV relativeFrom="paragraph">
                        <wp:posOffset>165100</wp:posOffset>
                      </wp:positionV>
                      <wp:extent cx="1600200" cy="9525"/>
                      <wp:effectExtent l="635" t="3175" r="635" b="3810"/>
                      <wp:wrapNone/>
                      <wp:docPr id="11" name="Łącznik prosty 2"/>
                      <a:graphic xmlns:a="http://schemas.openxmlformats.org/drawingml/2006/main">
                        <a:graphicData uri="http://schemas.microsoft.com/office/word/2010/wordprocessingShape">
                          <wps:wsp>
                            <wps:cNvSpPr/>
                            <wps:spPr>
                              <a:xfrm>
                                <a:off x="0" y="0"/>
                                <a:ext cx="1600200" cy="9360"/>
                              </a:xfrm>
                              <a:prstGeom prst="line">
                                <a:avLst/>
                              </a:prstGeom>
                              <a:ln>
                                <a:solidFill>
                                  <a:srgbClr val="4a66ac"/>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pt,13pt" to="128.95pt,13.7pt" ID="Łącznik prosty 2" stroked="t" o:allowincell="t" style="position:absolute" wp14:anchorId="2946CB37">
                      <v:stroke color="#4a66ac" weight="6480" joinstyle="miter" endcap="flat"/>
                      <v:fill o:detectmouseclick="t" on="false"/>
                      <w10:wrap type="none"/>
                    </v:line>
                  </w:pict>
                </mc:Fallback>
              </mc:AlternateContent>
            </w:r>
          </w:p>
          <w:p>
            <w:pPr>
              <w:pStyle w:val="Normal"/>
              <w:widowControl/>
              <w:suppressAutoHyphens w:val="true"/>
              <w:spacing w:lineRule="auto" w:line="240" w:before="0" w:after="0"/>
              <w:jc w:val="both"/>
              <w:rPr>
                <w:rFonts w:ascii="Arial" w:hAnsi="Arial" w:cs="Arial"/>
              </w:rPr>
            </w:pPr>
            <w:r>
              <w:rPr>
                <w:rFonts w:eastAsia="Aptos" w:cs="Arial" w:ascii="Arial" w:hAnsi="Arial"/>
                <w:kern w:val="2"/>
                <w:sz w:val="24"/>
                <w:szCs w:val="24"/>
                <w:lang w:val="pl-PL" w:eastAsia="en-US" w:bidi="ar-SA"/>
              </w:rPr>
              <w:t xml:space="preserve">Obszar </w:t>
              <w:br/>
              <w:t xml:space="preserve">problemowy oferowanych </w:t>
              <w:br/>
              <w:t>usług i nazwa usługi</w:t>
            </w:r>
          </w:p>
        </w:tc>
        <w:tc>
          <w:tcPr>
            <w:tcW w:w="1252" w:type="dxa"/>
            <w:tcBorders/>
            <w:shd w:color="auto" w:fill="629DD1" w:themeFill="accent2" w:val="clear"/>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2020</w:t>
            </w:r>
          </w:p>
        </w:tc>
        <w:tc>
          <w:tcPr>
            <w:tcW w:w="1250" w:type="dxa"/>
            <w:tcBorders/>
            <w:shd w:color="auto" w:fill="629DD1" w:themeFill="accent2" w:val="clear"/>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2021</w:t>
            </w:r>
          </w:p>
        </w:tc>
        <w:tc>
          <w:tcPr>
            <w:tcW w:w="1252" w:type="dxa"/>
            <w:tcBorders/>
            <w:shd w:color="auto" w:fill="629DD1" w:themeFill="accent2" w:val="clear"/>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2022</w:t>
            </w:r>
          </w:p>
        </w:tc>
        <w:tc>
          <w:tcPr>
            <w:tcW w:w="1250" w:type="dxa"/>
            <w:tcBorders/>
            <w:shd w:color="auto" w:fill="629DD1" w:themeFill="accent2" w:val="clear"/>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2023</w:t>
            </w:r>
          </w:p>
        </w:tc>
        <w:tc>
          <w:tcPr>
            <w:tcW w:w="1252" w:type="dxa"/>
            <w:tcBorders/>
            <w:shd w:color="auto" w:fill="629DD1" w:themeFill="accent2" w:val="clear"/>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2024</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Przeciwdziałanie bezdomności - usługa schronienie</w:t>
            </w:r>
          </w:p>
        </w:tc>
        <w:tc>
          <w:tcPr>
            <w:tcW w:w="12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Trudności w codziennym funkcjonowaniu</w:t>
            </w:r>
          </w:p>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-usługa opiekuńcza</w:t>
            </w:r>
          </w:p>
        </w:tc>
        <w:tc>
          <w:tcPr>
            <w:tcW w:w="12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19</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21</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23</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21</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24</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Pomoc w codziennym funkcjonowaniu</w:t>
            </w:r>
          </w:p>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-usługa pomoc wytchnieniowa</w:t>
            </w:r>
          </w:p>
        </w:tc>
        <w:tc>
          <w:tcPr>
            <w:tcW w:w="12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Pomoc w codziennym funkcjonowaniu</w:t>
            </w:r>
          </w:p>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-usługa korpus seniora(opaska)</w:t>
            </w:r>
          </w:p>
        </w:tc>
        <w:tc>
          <w:tcPr>
            <w:tcW w:w="12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Pomoc w codziennym funkcjonowaniu</w:t>
            </w:r>
          </w:p>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-usługa asystent seniora</w:t>
            </w:r>
          </w:p>
        </w:tc>
        <w:tc>
          <w:tcPr>
            <w:tcW w:w="12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Pomoc w codziennym funkcjonowaniu -</w:t>
            </w:r>
          </w:p>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usługa zabezpieczenie całodobowego pobytu w DPS</w:t>
            </w:r>
          </w:p>
        </w:tc>
        <w:tc>
          <w:tcPr>
            <w:tcW w:w="12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11</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11</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11</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Pomoc w funkcjonowaniu osób w z problemami zdrowia psychicznego -specjalistyczna usługa opiekuńcza</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Trudności w funkcjonowaniu – usługa poradnictwa specjalistycznego (prawnego, psychologicznego, rodzinnego)</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Trudności w funkcjonowaniu -usługa Interwencji kryzysowej</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0</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Brak możliwości funkcjonowania w środowisku z uwagi na zaburzenia psychiczne - usługa pobyt w ŚDS</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64</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61</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58</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64</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67</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Potrzeba wspierania rozwoju dziecka - usługa posiłek w szkole</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114</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75</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79</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96</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85</w:t>
            </w:r>
          </w:p>
        </w:tc>
      </w:tr>
      <w:tr>
        <w:trPr/>
        <w:tc>
          <w:tcPr>
            <w:tcW w:w="2805"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Problemy opiekuńczo</w:t>
              <w:br/>
              <w:t xml:space="preserve">-wychowawcze </w:t>
              <w:br/>
              <w:t>z dziećmi - usługa asystenta rodziny</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9</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11</w:t>
            </w:r>
          </w:p>
        </w:tc>
        <w:tc>
          <w:tcPr>
            <w:tcW w:w="1250"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8</w:t>
            </w:r>
          </w:p>
        </w:tc>
        <w:tc>
          <w:tcPr>
            <w:tcW w:w="1252" w:type="dxa"/>
            <w:tcBorders/>
          </w:tcPr>
          <w:p>
            <w:pPr>
              <w:pStyle w:val="Normal"/>
              <w:widowControl/>
              <w:suppressAutoHyphens w:val="true"/>
              <w:spacing w:lineRule="auto" w:line="360" w:before="0" w:after="0"/>
              <w:jc w:val="center"/>
              <w:rPr>
                <w:rFonts w:ascii="Arial" w:hAnsi="Arial" w:cs="Arial"/>
              </w:rPr>
            </w:pPr>
            <w:r>
              <w:rPr>
                <w:rFonts w:cs="Arial" w:ascii="Arial" w:hAnsi="Arial"/>
              </w:rPr>
            </w:r>
          </w:p>
          <w:p>
            <w:pPr>
              <w:pStyle w:val="Normal"/>
              <w:widowControl/>
              <w:suppressAutoHyphens w:val="true"/>
              <w:spacing w:lineRule="auto" w:line="360" w:before="0" w:after="0"/>
              <w:jc w:val="center"/>
              <w:rPr>
                <w:rFonts w:ascii="Arial" w:hAnsi="Arial" w:cs="Arial"/>
              </w:rPr>
            </w:pPr>
            <w:r>
              <w:rPr>
                <w:rFonts w:eastAsia="Aptos" w:cs="Arial" w:ascii="Arial" w:hAnsi="Arial"/>
                <w:kern w:val="2"/>
                <w:sz w:val="24"/>
                <w:szCs w:val="24"/>
                <w:lang w:val="pl-PL" w:eastAsia="en-US" w:bidi="ar-SA"/>
              </w:rPr>
              <w:t>9</w:t>
            </w:r>
          </w:p>
        </w:tc>
      </w:tr>
    </w:tbl>
    <w:p>
      <w:pPr>
        <w:pStyle w:val="Normal"/>
        <w:spacing w:lineRule="auto" w:line="360"/>
        <w:jc w:val="both"/>
        <w:rPr>
          <w:rFonts w:ascii="Arial" w:hAnsi="Arial" w:cs="Arial"/>
          <w:i/>
          <w:i/>
          <w:iCs/>
        </w:rPr>
      </w:pPr>
      <w:r>
        <w:rPr>
          <w:rFonts w:cs="Arial" w:ascii="Arial" w:hAnsi="Arial"/>
          <w:i/>
          <w:iCs/>
        </w:rPr>
        <w:t>Źródło: opracowanie własne na podstawie sprawozdań MPiPS -03</w:t>
      </w:r>
    </w:p>
    <w:p>
      <w:pPr>
        <w:pStyle w:val="Normal"/>
        <w:spacing w:lineRule="auto" w:line="360"/>
        <w:jc w:val="both"/>
        <w:rPr>
          <w:rFonts w:ascii="Arial" w:hAnsi="Arial" w:cs="Arial"/>
        </w:rPr>
      </w:pPr>
      <w:r>
        <w:rPr>
          <w:rFonts w:cs="Arial" w:ascii="Arial" w:hAnsi="Arial"/>
        </w:rPr>
      </w:r>
    </w:p>
    <w:p>
      <w:pPr>
        <w:pStyle w:val="Normal"/>
        <w:spacing w:lineRule="auto" w:line="360" w:before="0" w:after="0"/>
        <w:ind w:firstLine="708"/>
        <w:jc w:val="both"/>
        <w:rPr>
          <w:rFonts w:ascii="Arial" w:hAnsi="Arial" w:cs="Arial"/>
        </w:rPr>
      </w:pPr>
      <w:r>
        <w:rPr>
          <w:rFonts w:cs="Arial" w:ascii="Arial" w:hAnsi="Arial"/>
        </w:rPr>
        <w:t xml:space="preserve">Jak pokazuje zestawienie największy poziom zainteresowania - wręcz konieczność zapewnienia usług - pojawia się w obszarach: </w:t>
      </w:r>
    </w:p>
    <w:p>
      <w:pPr>
        <w:pStyle w:val="Normal"/>
        <w:spacing w:lineRule="auto" w:line="360" w:before="0" w:after="0"/>
        <w:ind w:firstLine="708"/>
        <w:jc w:val="both"/>
        <w:rPr>
          <w:rFonts w:ascii="Arial" w:hAnsi="Arial" w:cs="Arial"/>
        </w:rPr>
      </w:pPr>
      <w:r>
        <w:rPr>
          <w:rFonts w:cs="Arial" w:ascii="Arial" w:hAnsi="Arial"/>
        </w:rPr>
        <w:t>- związanych z brakiem możliwości samodzielnego funkcjonowania w środowisku ze względu na samotność, ograniczenia zdrowotne i funkcjonalne.</w:t>
      </w:r>
    </w:p>
    <w:p>
      <w:pPr>
        <w:pStyle w:val="Normal"/>
        <w:spacing w:lineRule="auto" w:line="360" w:before="0" w:after="0"/>
        <w:ind w:left="708"/>
        <w:jc w:val="both"/>
        <w:rPr>
          <w:rFonts w:ascii="Arial" w:hAnsi="Arial" w:cs="Arial"/>
        </w:rPr>
      </w:pPr>
      <w:r>
        <w:rPr>
          <w:rFonts w:cs="Arial" w:ascii="Arial" w:hAnsi="Arial"/>
        </w:rPr>
        <w:t>-  związanych z koniecznością zapewnienia jak najlepszych warunków mieszkaniowych i opiekuńczych.</w:t>
      </w:r>
    </w:p>
    <w:p>
      <w:pPr>
        <w:pStyle w:val="Normal"/>
        <w:spacing w:lineRule="auto" w:line="360" w:before="0" w:after="0"/>
        <w:ind w:left="708"/>
        <w:jc w:val="both"/>
        <w:rPr>
          <w:rFonts w:ascii="Arial" w:hAnsi="Arial" w:cs="Arial"/>
        </w:rPr>
      </w:pPr>
      <w:r>
        <w:rPr>
          <w:rFonts w:cs="Arial" w:ascii="Arial" w:hAnsi="Arial"/>
        </w:rPr>
        <w:t>-     związanych z koniecznością wspierania dzieci oraz rodzin wychowujących dzieci.</w:t>
      </w:r>
    </w:p>
    <w:p>
      <w:pPr>
        <w:pStyle w:val="Normal"/>
        <w:spacing w:lineRule="auto" w:line="360"/>
        <w:ind w:firstLine="708"/>
        <w:jc w:val="both"/>
        <w:rPr>
          <w:rFonts w:ascii="Arial" w:hAnsi="Arial" w:cs="Arial"/>
        </w:rPr>
      </w:pPr>
      <w:r>
        <w:rPr>
          <w:rFonts w:cs="Arial" w:ascii="Arial" w:hAnsi="Arial"/>
        </w:rPr>
        <w:t xml:space="preserve">Ograniczenia wynikające z samotności nie zawsze są skutkiem braku relacji w rodzinie, ale często brakiem tej rodziny, oddzielnym zamieszkiwaniem lub dużą odległością pomiędzy zamieszkaniem bliskich członków rodziny a osobą wymagającą wsparcia. Często też ograniczeniem jest konieczność zatrudnienia i niemożność połączenia ról społecznych opiekuna członka rodziny i pracownika. </w:t>
      </w:r>
    </w:p>
    <w:p>
      <w:pPr>
        <w:pStyle w:val="Normal"/>
        <w:spacing w:lineRule="auto" w:line="360"/>
        <w:ind w:firstLine="708"/>
        <w:jc w:val="both"/>
        <w:rPr>
          <w:rFonts w:ascii="Arial" w:hAnsi="Arial" w:cs="Arial"/>
        </w:rPr>
      </w:pPr>
      <w:r>
        <w:rPr>
          <w:rFonts w:cs="Arial" w:ascii="Arial" w:hAnsi="Arial"/>
        </w:rPr>
        <w:t xml:space="preserve">Ograniczenia wynikające z wieku, niepełnosprawności i choroby często są też skutkiem braku wiedzy i umiejętności w sprawowania opieki wobec członków rodziny. Niekiedy jest to trudny proces wymagający działań specjalistycznych, paramedycznych, pielęgnacyjnych i doradczych. </w:t>
      </w:r>
    </w:p>
    <w:p>
      <w:pPr>
        <w:pStyle w:val="NormalWeb"/>
        <w:spacing w:lineRule="auto" w:line="360" w:before="280" w:after="280"/>
        <w:ind w:firstLine="708"/>
        <w:jc w:val="both"/>
        <w:rPr>
          <w:rFonts w:ascii="Arial" w:hAnsi="Arial" w:cs="Arial"/>
        </w:rPr>
      </w:pPr>
      <w:r>
        <w:rPr>
          <w:rFonts w:cs="Arial" w:ascii="Arial" w:hAnsi="Arial"/>
        </w:rPr>
        <w:t>Ograniczenia funkcjonalne w rodzinach wychowujących dzieci można pogrupować na kilka rodzajów. Według informacji uzyskanych w wywiadach pogłębionych z pracownikami Ośrodka Pomocy Społecznej najczęściej występujące na terenie Gminy Bychawa to:</w:t>
      </w:r>
    </w:p>
    <w:p>
      <w:pPr>
        <w:pStyle w:val="Normal"/>
        <w:numPr>
          <w:ilvl w:val="0"/>
          <w:numId w:val="11"/>
        </w:numPr>
        <w:spacing w:lineRule="auto" w:line="360" w:beforeAutospacing="1" w:after="0"/>
        <w:jc w:val="both"/>
        <w:rPr>
          <w:rFonts w:ascii="Arial" w:hAnsi="Arial" w:eastAsia="Times New Roman" w:cs="Arial"/>
          <w:kern w:val="0"/>
          <w:lang w:eastAsia="pl-PL"/>
          <w14:ligatures w14:val="none"/>
        </w:rPr>
      </w:pPr>
      <w:r>
        <w:rPr>
          <w:rFonts w:cs="Arial" w:ascii="Arial" w:hAnsi="Arial"/>
        </w:rPr>
        <w:t>ograniczenia</w:t>
      </w:r>
      <w:r>
        <w:rPr>
          <w:rFonts w:eastAsia="Times New Roman" w:cs="Arial" w:ascii="Arial" w:hAnsi="Arial"/>
          <w:b/>
          <w:bCs/>
          <w:kern w:val="0"/>
          <w:lang w:eastAsia="pl-PL"/>
          <w14:ligatures w14:val="none"/>
        </w:rPr>
        <w:t xml:space="preserve"> </w:t>
      </w:r>
      <w:r>
        <w:rPr>
          <w:rFonts w:eastAsia="Times New Roman" w:cs="Arial" w:ascii="Arial" w:hAnsi="Arial"/>
          <w:kern w:val="0"/>
          <w:lang w:eastAsia="pl-PL"/>
          <w14:ligatures w14:val="none"/>
        </w:rPr>
        <w:t>ekonomiczno</w:t>
        <w:noBreakHyphen/>
        <w:t>materialne</w:t>
      </w:r>
      <w:r>
        <w:rPr>
          <w:rFonts w:eastAsia="Times New Roman" w:cs="Arial" w:ascii="Arial" w:hAnsi="Arial"/>
          <w:b/>
          <w:bCs/>
          <w:kern w:val="0"/>
          <w:lang w:eastAsia="pl-PL"/>
          <w14:ligatures w14:val="none"/>
        </w:rPr>
        <w:t xml:space="preserve"> </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ograniczone dochody / ubóstwo → trudności z zapewnieniem podstawowych potrzeb (żywności, ubrania, mieszkania) </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dużych wydatków (np. opieka specjalistyczna, rehabilitacja) ‒ im bardziej specjalistyczne potrzeby, tym większe koszty </w:t>
      </w:r>
    </w:p>
    <w:p>
      <w:pPr>
        <w:pStyle w:val="Normal"/>
        <w:numPr>
          <w:ilvl w:val="0"/>
          <w:numId w:val="11"/>
        </w:numPr>
        <w:spacing w:lineRule="auto" w:line="360" w:before="0" w:after="0"/>
        <w:jc w:val="both"/>
        <w:rPr>
          <w:rFonts w:ascii="Arial" w:hAnsi="Arial" w:eastAsia="Times New Roman" w:cs="Arial"/>
          <w:kern w:val="0"/>
          <w:lang w:eastAsia="pl-PL"/>
          <w14:ligatures w14:val="none"/>
        </w:rPr>
      </w:pPr>
      <w:r>
        <w:rPr>
          <w:rFonts w:cs="Arial" w:ascii="Arial" w:hAnsi="Arial"/>
        </w:rPr>
        <w:t>ograniczenia</w:t>
      </w:r>
      <w:r>
        <w:rPr>
          <w:rFonts w:eastAsia="Times New Roman" w:cs="Arial" w:ascii="Arial" w:hAnsi="Arial"/>
          <w:b/>
          <w:bCs/>
          <w:kern w:val="0"/>
          <w:lang w:eastAsia="pl-PL"/>
          <w14:ligatures w14:val="none"/>
        </w:rPr>
        <w:t xml:space="preserve"> </w:t>
      </w:r>
      <w:r>
        <w:rPr>
          <w:rFonts w:eastAsia="Times New Roman" w:cs="Arial" w:ascii="Arial" w:hAnsi="Arial"/>
          <w:kern w:val="0"/>
          <w:lang w:eastAsia="pl-PL"/>
          <w14:ligatures w14:val="none"/>
        </w:rPr>
        <w:t>czasowe i organizacyjne</w:t>
      </w:r>
      <w:r>
        <w:rPr>
          <w:rFonts w:eastAsia="Times New Roman" w:cs="Arial" w:ascii="Arial" w:hAnsi="Arial"/>
          <w:b/>
          <w:bCs/>
          <w:kern w:val="0"/>
          <w:lang w:eastAsia="pl-PL"/>
          <w14:ligatures w14:val="none"/>
        </w:rPr>
        <w:t xml:space="preserve"> </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kombinacja obowiązków zawodowych, domowych, opiekuńczych - brak czasu dla dzieci, dla relacji rodzinnych, odpoczynku dla rodziców </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trudności w planowaniu dnia życia rodziny przy wielu wymaganiach opieki, zwłaszcza w rodzinach wielodzietnych lub z dzieckiem wymagającym szczególnej opieki </w:t>
      </w:r>
    </w:p>
    <w:p>
      <w:pPr>
        <w:pStyle w:val="Normal"/>
        <w:numPr>
          <w:ilvl w:val="0"/>
          <w:numId w:val="11"/>
        </w:numPr>
        <w:spacing w:lineRule="auto" w:line="360" w:before="0" w:after="0"/>
        <w:jc w:val="both"/>
        <w:rPr>
          <w:rFonts w:ascii="Arial" w:hAnsi="Arial" w:eastAsia="Times New Roman" w:cs="Arial"/>
          <w:kern w:val="0"/>
          <w:lang w:eastAsia="pl-PL"/>
          <w14:ligatures w14:val="none"/>
        </w:rPr>
      </w:pPr>
      <w:r>
        <w:rPr>
          <w:rFonts w:cs="Arial" w:ascii="Arial" w:hAnsi="Arial"/>
        </w:rPr>
        <w:t>ograniczenia</w:t>
      </w:r>
      <w:r>
        <w:rPr>
          <w:rFonts w:eastAsia="Times New Roman" w:cs="Arial" w:ascii="Arial" w:hAnsi="Arial"/>
          <w:b/>
          <w:bCs/>
          <w:kern w:val="0"/>
          <w:lang w:eastAsia="pl-PL"/>
          <w14:ligatures w14:val="none"/>
        </w:rPr>
        <w:t xml:space="preserve"> </w:t>
      </w:r>
      <w:r>
        <w:rPr>
          <w:rFonts w:eastAsia="Times New Roman" w:cs="Arial" w:ascii="Arial" w:hAnsi="Arial"/>
          <w:kern w:val="0"/>
          <w:lang w:eastAsia="pl-PL"/>
          <w14:ligatures w14:val="none"/>
        </w:rPr>
        <w:t>emocjonalne / psychologiczne</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przeciążenie, stres, zmęczenie rodziców mogą prowadzić do niższej jakości relacji, mniej cierpliwości, trudności w utrzymaniu stabilności emocjonalnej dziecka </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poczucie bezradności lub osamotnienia, szczególnie gdy wsparcie społeczne jest ograniczone </w:t>
      </w:r>
    </w:p>
    <w:p>
      <w:pPr>
        <w:pStyle w:val="Normal"/>
        <w:numPr>
          <w:ilvl w:val="0"/>
          <w:numId w:val="11"/>
        </w:numPr>
        <w:spacing w:lineRule="auto" w:line="360" w:before="0" w:after="0"/>
        <w:jc w:val="both"/>
        <w:rPr>
          <w:rFonts w:ascii="Arial" w:hAnsi="Arial" w:eastAsia="Times New Roman" w:cs="Arial"/>
          <w:kern w:val="0"/>
          <w:lang w:eastAsia="pl-PL"/>
          <w14:ligatures w14:val="none"/>
        </w:rPr>
      </w:pPr>
      <w:r>
        <w:rPr>
          <w:rFonts w:cs="Arial" w:ascii="Arial" w:hAnsi="Arial"/>
        </w:rPr>
        <w:t>ograniczenia w</w:t>
      </w:r>
      <w:r>
        <w:rPr>
          <w:rFonts w:eastAsia="Times New Roman" w:cs="Arial" w:ascii="Arial" w:hAnsi="Arial"/>
          <w:kern w:val="0"/>
          <w:lang w:eastAsia="pl-PL"/>
          <w14:ligatures w14:val="none"/>
        </w:rPr>
        <w:t xml:space="preserve"> funkcjach opiekuńczo</w:t>
        <w:noBreakHyphen/>
        <w:t>wychowawczych i socjalizacyjnych</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trudności w zapewnieniu stałej opieki, np. gdy dziecko ma specjalne potrzeby (niepełnosprawność, choroba przewlekła), adaptacja, reorganizacja życia rodziny </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słaba planowość, niedostateczne reagowanie na potrzeby emocjonalne dziecka (np. dzieci mówią o tzw. „sieroctwie emocjonalnym” </w:t>
        <w:br/>
        <w:t xml:space="preserve">w wielodzietnych rodzinach) </w:t>
      </w:r>
    </w:p>
    <w:p>
      <w:pPr>
        <w:pStyle w:val="Normal"/>
        <w:numPr>
          <w:ilvl w:val="0"/>
          <w:numId w:val="11"/>
        </w:numPr>
        <w:spacing w:lineRule="auto" w:line="360" w:before="0" w:after="0"/>
        <w:jc w:val="both"/>
        <w:rPr>
          <w:rFonts w:ascii="Arial" w:hAnsi="Arial" w:eastAsia="Times New Roman" w:cs="Arial"/>
          <w:kern w:val="0"/>
          <w:lang w:eastAsia="pl-PL"/>
          <w14:ligatures w14:val="none"/>
        </w:rPr>
      </w:pPr>
      <w:r>
        <w:rPr>
          <w:rFonts w:cs="Arial" w:ascii="Arial" w:hAnsi="Arial"/>
        </w:rPr>
        <w:t>ograniczenia</w:t>
      </w:r>
      <w:r>
        <w:rPr>
          <w:rFonts w:eastAsia="Times New Roman" w:cs="Arial" w:ascii="Arial" w:hAnsi="Arial"/>
          <w:b/>
          <w:bCs/>
          <w:kern w:val="0"/>
          <w:lang w:eastAsia="pl-PL"/>
          <w14:ligatures w14:val="none"/>
        </w:rPr>
        <w:t xml:space="preserve"> </w:t>
      </w:r>
      <w:r>
        <w:rPr>
          <w:rFonts w:eastAsia="Times New Roman" w:cs="Arial" w:ascii="Arial" w:hAnsi="Arial"/>
          <w:kern w:val="0"/>
          <w:lang w:eastAsia="pl-PL"/>
          <w14:ligatures w14:val="none"/>
        </w:rPr>
        <w:t>społeczne i lokalne</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izolacja społeczna: brak czasu, wstydu, braku akceptacji społecznej, ograniczone kontakty towarzyskie, wsparcie od sąsiadów, rodziny rozszerzonej rozumianej jako krewni, kuzyni itp. </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bariery instytucjonalne, organizacyjne: dostęp do pomocy medycznej, psychologicznej, edukacyjnej zdecentralizowanej, odległość, kolejki, koszty </w:t>
      </w:r>
    </w:p>
    <w:p>
      <w:pPr>
        <w:pStyle w:val="Normal"/>
        <w:numPr>
          <w:ilvl w:val="0"/>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ograniczenia funkcjonalne wynikające z niepełnosprawności dziecka</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konieczność specjalistycznej opieki, terapii, edukacji dostosowanej do potrzeb → więcej obowiązków dla rodziny, zmiany w układzie ról (np. umniejszona możliwość pracy zawodowej jednego z rodziców) </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zmiany stylu życia, ograniczenie funkcji seksualnej, prokreacyjnej, psychohigienicznej (odpoczynku, dbania o siebie) w wyniku skupienia się na opiece nad dzieckiem</w:t>
      </w:r>
    </w:p>
    <w:p>
      <w:pPr>
        <w:pStyle w:val="Normal"/>
        <w:numPr>
          <w:ilvl w:val="0"/>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ograniczenia poznawcze / edukacyjne</w:t>
      </w:r>
    </w:p>
    <w:p>
      <w:pPr>
        <w:pStyle w:val="Normal"/>
        <w:numPr>
          <w:ilvl w:val="1"/>
          <w:numId w:val="1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brak dostatecznej wiedzy rodziców o rozwoju dziecka, metodach wychowania, specjalnych potrzebach → trudność w dostosowaniu wychowania do indywidualnych możliwości dziecka</w:t>
      </w:r>
    </w:p>
    <w:p>
      <w:pPr>
        <w:pStyle w:val="Normal"/>
        <w:numPr>
          <w:ilvl w:val="1"/>
          <w:numId w:val="11"/>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bariery w edukacji dziecka: środowiskowe, ekonomiczne, brak wsparcia szkoły/przedszkola, drogi do placówek specjalnych, deficyty poznawcze u dziecka.</w:t>
      </w:r>
    </w:p>
    <w:p>
      <w:pPr>
        <w:pStyle w:val="Normal"/>
        <w:spacing w:lineRule="auto" w:line="360" w:beforeAutospacing="1" w:afterAutospacing="1"/>
        <w:ind w:firstLine="708"/>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Wszystkie te ograniczenia są ważnym argumentem dla podjęcia działań w kierunku rozwoju usług społecznych wspierających osoby i rodziny w procesie radzenia sobie z napotykanymi trudnościami i stanowić będą przedmiot dalszych konsultacji społecznych i organizacyjnych nad zapewnieniem różnorodnych usług dedykowanych mieszkańcom w ramach struktur przyszłego Centrum Usług Społecznych.</w:t>
      </w:r>
    </w:p>
    <w:p>
      <w:pPr>
        <w:pStyle w:val="Heading2"/>
        <w:numPr>
          <w:ilvl w:val="1"/>
          <w:numId w:val="1"/>
        </w:numPr>
        <w:jc w:val="both"/>
        <w:rPr>
          <w:rFonts w:ascii="Arial" w:hAnsi="Arial" w:cs="Arial"/>
          <w:b/>
          <w:bCs/>
          <w:color w:val="00204F"/>
          <w:sz w:val="28"/>
          <w:szCs w:val="28"/>
        </w:rPr>
      </w:pPr>
      <w:bookmarkStart w:id="26" w:name="_Toc211356344"/>
      <w:r>
        <w:rPr>
          <w:rFonts w:cs="Arial" w:ascii="Arial" w:hAnsi="Arial"/>
          <w:b/>
          <w:bCs/>
          <w:color w:val="00204F"/>
          <w:sz w:val="28"/>
          <w:szCs w:val="28"/>
        </w:rPr>
        <w:t xml:space="preserve">Potrzeby mieszkańców </w:t>
      </w:r>
      <w:bookmarkStart w:id="27" w:name="_Hlk210916289"/>
      <w:r>
        <w:rPr>
          <w:rFonts w:cs="Arial" w:ascii="Arial" w:hAnsi="Arial"/>
          <w:b/>
          <w:bCs/>
          <w:color w:val="00204F"/>
          <w:sz w:val="28"/>
          <w:szCs w:val="28"/>
        </w:rPr>
        <w:t>Gminy Bychawa</w:t>
      </w:r>
      <w:bookmarkEnd w:id="27"/>
      <w:r>
        <w:rPr>
          <w:rFonts w:cs="Arial" w:ascii="Arial" w:hAnsi="Arial"/>
          <w:b/>
          <w:bCs/>
          <w:color w:val="00204F"/>
          <w:sz w:val="28"/>
          <w:szCs w:val="28"/>
        </w:rPr>
        <w:t xml:space="preserve"> w  zakresie usług społecznych</w:t>
      </w:r>
      <w:bookmarkEnd w:id="26"/>
    </w:p>
    <w:p>
      <w:pPr>
        <w:pStyle w:val="Normal"/>
        <w:spacing w:lineRule="auto" w:line="360"/>
        <w:ind w:firstLine="708"/>
        <w:jc w:val="both"/>
        <w:rPr>
          <w:rFonts w:ascii="Arial" w:hAnsi="Arial" w:eastAsia="Times New Roman" w:cs="Arial"/>
          <w:kern w:val="0"/>
          <w:lang w:eastAsia="pl-PL"/>
          <w14:ligatures w14:val="none"/>
        </w:rPr>
      </w:pPr>
      <w:r>
        <w:rPr>
          <w:rFonts w:cs="Arial" w:ascii="Arial" w:hAnsi="Arial"/>
        </w:rPr>
        <w:t xml:space="preserve">Jednym z najważniejszych etapów diagnozy społecznej było badanie opinii mieszkańców Gminy Bychawa na temat szeroko rozumianych usług społecznych, wiedzy o rodzajach usług, zapotrzebowaniu na usługi i  poziomu dostępności. </w:t>
      </w:r>
    </w:p>
    <w:p>
      <w:pPr>
        <w:pStyle w:val="Normal"/>
        <w:spacing w:lineRule="auto" w:line="360"/>
        <w:ind w:firstLine="708"/>
        <w:jc w:val="both"/>
        <w:rPr>
          <w:rFonts w:ascii="Arial" w:hAnsi="Arial" w:cs="Arial"/>
        </w:rPr>
      </w:pPr>
      <w:r>
        <w:rPr>
          <w:rFonts w:eastAsia="Times New Roman" w:cs="Arial" w:ascii="Arial" w:hAnsi="Arial"/>
          <w:kern w:val="0"/>
          <w:lang w:eastAsia="pl-PL"/>
          <w14:ligatures w14:val="none"/>
        </w:rPr>
        <w:t xml:space="preserve">Do badań w zakresie uzyskania opinii na temat potrzeb na usługi społeczne wybrano próbę stanowiącą min. 200 mieszkańców Gminy Bychawa. Próbę dobrano tak, aby jej struktura (np. płeć, wiek) była zgodna z proporcjami w populacji, ale wybór osób odbył się na zasadzie decyzji badacza, a nie losowej. Proces </w:t>
      </w:r>
      <w:r>
        <w:rPr>
          <w:rFonts w:cs="Arial" w:ascii="Arial" w:hAnsi="Arial"/>
        </w:rPr>
        <w:t>rekrutacji respondentów do badań przeprowadzono z udziałem pracowników samorządowych Urzędu Miejskiego w Bychawie, pracowników Ośrodka Pomocy Społecznej, Szkół, Przedszkola, Żłobka, Środowiskowego Domu Samopomocy, Miejskiej Biblioteki Publicznej oraz Bychawskiego Centrum Kultury.</w:t>
      </w:r>
    </w:p>
    <w:p>
      <w:pPr>
        <w:pStyle w:val="FootnoteText"/>
        <w:spacing w:lineRule="auto" w:line="360"/>
        <w:ind w:firstLine="708"/>
        <w:jc w:val="both"/>
        <w:rPr>
          <w:rFonts w:ascii="Arial" w:hAnsi="Arial" w:cs="Arial"/>
          <w:sz w:val="24"/>
          <w:szCs w:val="24"/>
        </w:rPr>
      </w:pPr>
      <w:r>
        <w:rPr>
          <w:rFonts w:cs="Arial" w:ascii="Arial" w:hAnsi="Arial"/>
          <w:sz w:val="24"/>
          <w:szCs w:val="24"/>
        </w:rPr>
        <w:t xml:space="preserve">Badania przeprowadzono z zastosowaniem ogólnodostępnej ankiety. Możliwość udziału w badaniu została zagwarantowana wszystkim chętnym bez względu na wiek, miejsce zamieszkania - miasto i wieś czy status społeczny. Ankieta dostępna była w wersji PAPI (papierowa wersja udostępnia została przez pracowników rekrutujących do badań) oraz CAVI- zamieszczona na stronie internetowej Urzędu Gminy Bychawa  pod linkiem - </w:t>
      </w:r>
      <w:hyperlink r:id="rId15">
        <w:r>
          <w:rPr>
            <w:rStyle w:val="Hyperlink"/>
            <w:rFonts w:cs="Arial" w:ascii="Arial" w:hAnsi="Arial"/>
            <w:color w:themeColor="text2" w:val="242852"/>
            <w:sz w:val="24"/>
            <w:szCs w:val="24"/>
          </w:rPr>
          <w:t>https://bychawa.pl/twoja-opinia-ma-znaczenie-wypelnij-nasza-ankiete-dotyczaca-opinii-i-potrzeb-mieszkancow-gminy-bychawa-w-zakresie-uslug-spolecznych/</w:t>
        </w:r>
      </w:hyperlink>
      <w:r>
        <w:rPr>
          <w:rFonts w:cs="Arial" w:ascii="Arial" w:hAnsi="Arial"/>
          <w:sz w:val="24"/>
          <w:szCs w:val="24"/>
        </w:rPr>
        <w:t>; dostęp z dnia 15.09.2025r.</w:t>
      </w:r>
    </w:p>
    <w:p>
      <w:pPr>
        <w:pStyle w:val="FootnoteText"/>
        <w:spacing w:lineRule="auto" w:line="360"/>
        <w:ind w:firstLine="708"/>
        <w:jc w:val="both"/>
        <w:rPr>
          <w:rFonts w:ascii="Arial" w:hAnsi="Arial" w:cs="Arial"/>
          <w:sz w:val="24"/>
          <w:szCs w:val="24"/>
        </w:rPr>
      </w:pPr>
      <w:r>
        <w:rPr>
          <w:rFonts w:cs="Arial" w:ascii="Arial" w:hAnsi="Arial"/>
          <w:sz w:val="24"/>
          <w:szCs w:val="24"/>
        </w:rPr>
      </w:r>
    </w:p>
    <w:p>
      <w:pPr>
        <w:pStyle w:val="FootnoteText"/>
        <w:spacing w:lineRule="auto" w:line="360"/>
        <w:ind w:firstLine="708"/>
        <w:jc w:val="both"/>
        <w:rPr>
          <w:rFonts w:ascii="Arial" w:hAnsi="Arial" w:cs="Arial"/>
          <w:sz w:val="24"/>
          <w:szCs w:val="24"/>
        </w:rPr>
      </w:pPr>
      <w:r>
        <w:rPr>
          <w:rFonts w:cs="Arial" w:ascii="Arial" w:hAnsi="Arial"/>
          <w:sz w:val="24"/>
          <w:szCs w:val="24"/>
        </w:rPr>
        <w:t xml:space="preserve">Wyniki badań opinii mieszkańców na temat usług społecznych stanowić będą podstawę między innymi do opracowania  Programu Usług Społecznych i realizacji usług przez nowoutworzone Centrum Usług Społecznych w  Bychawie oraz opracowania i wdrożenia Planu Organizowania Społeczności Lokalnej. </w:t>
      </w:r>
    </w:p>
    <w:p>
      <w:pPr>
        <w:pStyle w:val="Normal"/>
        <w:spacing w:lineRule="auto" w:line="360"/>
        <w:jc w:val="both"/>
        <w:rPr>
          <w:rFonts w:ascii="Times New Roman" w:hAnsi="Times New Roman" w:eastAsia="Times New Roman" w:cs="Times New Roman"/>
          <w:kern w:val="0"/>
          <w:lang w:eastAsia="pl-PL"/>
          <w14:ligatures w14:val="none"/>
        </w:rPr>
      </w:pPr>
      <w:r>
        <w:rPr>
          <w:rFonts w:cs="Arial" w:ascii="Arial" w:hAnsi="Arial"/>
          <w:b/>
          <w:bCs/>
        </w:rPr>
        <w:tab/>
      </w:r>
      <w:r>
        <w:rPr>
          <w:rFonts w:cs="Arial" w:ascii="Arial" w:hAnsi="Arial"/>
        </w:rPr>
        <w:t>Uzyskane w badaniu opinie można uznać za wiarygodne przy jednoczesnym założeniu, że jest to opinia całej populacji, której zbadanie w krótkim okresie czasu było niemożliwe</w:t>
      </w:r>
      <w:r>
        <w:rPr>
          <w:rFonts w:cs="Arial" w:ascii="Arial" w:hAnsi="Arial"/>
          <w:b/>
          <w:bCs/>
        </w:rPr>
        <w:t xml:space="preserve">. </w:t>
      </w:r>
      <w:r>
        <w:rPr>
          <w:rFonts w:eastAsia="Times New Roman" w:cs="Arial" w:ascii="Arial" w:hAnsi="Arial"/>
          <w:kern w:val="0"/>
          <w:lang w:eastAsia="pl-PL"/>
          <w14:ligatures w14:val="none"/>
        </w:rPr>
        <w:t xml:space="preserve">Dobór kwotowy próby pozwolił na dowolny udział poszczególnych kategorii (np. płci, wieku, miejsca zamieszkania) w stosunku do całej populacji. </w:t>
      </w:r>
      <w:r>
        <w:rPr>
          <w:rFonts w:cs="Arial" w:ascii="Arial" w:hAnsi="Arial"/>
        </w:rPr>
        <w:t xml:space="preserve">W opracowaniu wyników badań przyjęto wskaźnik procentowy, wyrażający </w:t>
      </w:r>
      <w:r>
        <w:rPr>
          <w:rFonts w:eastAsia="Times New Roman" w:cs="Arial" w:ascii="Arial" w:hAnsi="Arial"/>
          <w:kern w:val="0"/>
          <w:lang w:eastAsia="pl-PL"/>
          <w14:ligatures w14:val="none"/>
        </w:rPr>
        <w:t>stosunek jednej wartości do drugiej. Wartość pierwszą (podstawową) określono jako 100%. Wartością drugą (porównywalną) był procent wyborów wskazany przez badanych. W badaniu założono, że wartością 100% jest grupa licząca 200 osób badanych.</w:t>
      </w:r>
      <w:r>
        <w:rPr>
          <w:rFonts w:eastAsia="Times New Roman" w:cs="Times New Roman" w:ascii="Times New Roman" w:hAnsi="Times New Roman"/>
          <w:kern w:val="0"/>
          <w:lang w:eastAsia="pl-PL"/>
          <w14:ligatures w14:val="none"/>
        </w:rPr>
        <w:t xml:space="preserve"> </w:t>
      </w:r>
    </w:p>
    <w:p>
      <w:pPr>
        <w:pStyle w:val="Normal"/>
        <w:spacing w:lineRule="auto" w:line="360"/>
        <w:jc w:val="both"/>
        <w:rPr>
          <w:rFonts w:ascii="Arial" w:hAnsi="Arial" w:eastAsia="Times New Roman" w:cs="Arial"/>
          <w:kern w:val="0"/>
          <w:lang w:eastAsia="pl-PL"/>
          <w14:ligatures w14:val="none"/>
        </w:rPr>
      </w:pPr>
      <w:r>
        <w:rPr>
          <w:rFonts w:eastAsia="Times New Roman" w:cs="Times New Roman" w:ascii="Times New Roman" w:hAnsi="Times New Roman"/>
          <w:kern w:val="0"/>
          <w:lang w:eastAsia="pl-PL"/>
          <w14:ligatures w14:val="none"/>
        </w:rPr>
        <w:tab/>
      </w:r>
      <w:r>
        <w:rPr>
          <w:rFonts w:eastAsia="Times New Roman" w:cs="Arial" w:ascii="Arial" w:hAnsi="Arial"/>
          <w:kern w:val="0"/>
          <w:lang w:eastAsia="pl-PL"/>
          <w14:ligatures w14:val="none"/>
        </w:rPr>
        <w:t>W myśl tej metodologii w badaniu wzięło udział 69% kobiet i 31% mężczyzn. Przewaga udziału kobiet w badaniu jest typowym odzwierciedleniem zjawiska większej decyzyjności kobiet w tzw. „sprawach społecznych” na poziomie społeczności lokalnych. Mężczyźni z reguły częściej wypowiadają się w sprawach inwestycyjnych i gospodarczych, rzadziej w sprawach społecznych.</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ab/>
        <w:t>Wiek osób badanych oscylował w graniach od 22 lat do 70 lat. Najliczniej reprezentowane były trzy kategorie wiekowe w przedziałach od 41 do 60 lat. Szczegółowy rozkład kategorii wiekowych biorących udział w badaniu zamieszczono poniżej:</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 wiek do 30 lat </w:t>
        <w:tab/>
        <w:tab/>
        <w:t>- 2%</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wiek od 31 do 35 lat</w:t>
        <w:tab/>
        <w:t>- 3%</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wiek od 36 do 40 lat</w:t>
        <w:tab/>
        <w:t>- 3%</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wiek od 41 do 45 lat</w:t>
        <w:tab/>
        <w:t>-17%</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wiek od 46 do 50 lat</w:t>
        <w:tab/>
        <w:t>-16%</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wiek od 51 do 55 lat</w:t>
        <w:tab/>
        <w:t>-18%</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 wiek od 56 do 60 lat </w:t>
        <w:tab/>
        <w:t>- 24%</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 wiek od 61 do 65 lat </w:t>
        <w:tab/>
        <w:t>- 11%</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 wiek od 66 i więcej </w:t>
        <w:tab/>
        <w:t>-  6%.</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ab/>
        <w:t xml:space="preserve">Trzy najliczniejsze kategorie wiekowe prezentując opinie znaczące dla przyszłego projektowania usług społecznych, potwierdziły typowe zjawisko dla większości populacji w tym wieku z racji prezentowania dojrzałej, prospołecznej postawy odpowiedzialnej za wpływ na organizację życia społecznego. </w:t>
      </w:r>
    </w:p>
    <w:p>
      <w:pPr>
        <w:pStyle w:val="Normal"/>
        <w:spacing w:lineRule="auto" w: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ab/>
        <w:t>Postawy te potwierdza również status zawodowy badanych osób, który kształtował się następująco:</w:t>
      </w:r>
    </w:p>
    <w:p>
      <w:pPr>
        <w:pStyle w:val="NormalWeb"/>
        <w:numPr>
          <w:ilvl w:val="1"/>
          <w:numId w:val="213"/>
        </w:numPr>
        <w:spacing w:lineRule="auto" w:line="360" w:before="280" w:after="0"/>
        <w:jc w:val="both"/>
        <w:rPr>
          <w:rFonts w:ascii="Arial" w:hAnsi="Arial" w:cs="Arial"/>
        </w:rPr>
      </w:pPr>
      <w:r>
        <w:rPr>
          <w:rFonts w:cs="Arial" w:ascii="Arial" w:hAnsi="Arial"/>
        </w:rPr>
        <w:t xml:space="preserve">Uczeń/student </w:t>
        <w:tab/>
        <w:tab/>
        <w:t>– 3,6%</w:t>
      </w:r>
    </w:p>
    <w:p>
      <w:pPr>
        <w:pStyle w:val="NormalWeb"/>
        <w:numPr>
          <w:ilvl w:val="1"/>
          <w:numId w:val="214"/>
        </w:numPr>
        <w:spacing w:lineRule="auto" w:line="360" w:before="0" w:after="0"/>
        <w:jc w:val="both"/>
        <w:rPr>
          <w:rFonts w:ascii="Arial" w:hAnsi="Arial" w:cs="Arial"/>
        </w:rPr>
      </w:pPr>
      <w:r>
        <w:rPr>
          <w:rFonts w:cs="Arial" w:ascii="Arial" w:hAnsi="Arial"/>
        </w:rPr>
        <w:t xml:space="preserve">Niepracujący </w:t>
        <w:tab/>
        <w:tab/>
        <w:t>– 10,9%</w:t>
      </w:r>
    </w:p>
    <w:p>
      <w:pPr>
        <w:pStyle w:val="NormalWeb"/>
        <w:numPr>
          <w:ilvl w:val="1"/>
          <w:numId w:val="215"/>
        </w:numPr>
        <w:spacing w:lineRule="auto" w:line="360" w:before="0" w:after="0"/>
        <w:jc w:val="both"/>
        <w:rPr>
          <w:rFonts w:ascii="Arial" w:hAnsi="Arial" w:cs="Arial"/>
        </w:rPr>
      </w:pPr>
      <w:r>
        <w:rPr>
          <w:rFonts w:cs="Arial" w:ascii="Arial" w:hAnsi="Arial"/>
        </w:rPr>
        <w:t xml:space="preserve">Pracujący </w:t>
        <w:tab/>
        <w:tab/>
        <w:tab/>
        <w:t>– 70,9%</w:t>
      </w:r>
    </w:p>
    <w:p>
      <w:pPr>
        <w:pStyle w:val="NormalWeb"/>
        <w:numPr>
          <w:ilvl w:val="1"/>
          <w:numId w:val="216"/>
        </w:numPr>
        <w:spacing w:lineRule="auto" w:line="360" w:before="0" w:after="280"/>
        <w:jc w:val="both"/>
        <w:rPr>
          <w:rFonts w:ascii="Arial" w:hAnsi="Arial" w:cs="Arial"/>
        </w:rPr>
      </w:pPr>
      <w:r>
        <w:rPr>
          <w:rFonts w:cs="Arial" w:ascii="Arial" w:hAnsi="Arial"/>
        </w:rPr>
        <w:t>Emeryt/rencista</w:t>
        <w:tab/>
        <w:tab/>
        <w:t>– 13,7%</w:t>
      </w:r>
    </w:p>
    <w:p>
      <w:pPr>
        <w:pStyle w:val="NormalWeb"/>
        <w:spacing w:lineRule="auto" w:line="360" w:before="280" w:after="280"/>
        <w:ind w:firstLine="708"/>
        <w:jc w:val="both"/>
        <w:rPr>
          <w:rFonts w:ascii="Arial" w:hAnsi="Arial" w:cs="Arial"/>
        </w:rPr>
      </w:pPr>
      <w:r>
        <w:rPr>
          <w:rFonts w:cs="Arial" w:ascii="Arial" w:hAnsi="Arial"/>
        </w:rPr>
        <w:t xml:space="preserve">Największą część, ponad 70% badanych stanowią osoby pracujące, co jednoznacznie potwierdza, że ich aktywność to nie tylko wypracowywanie dochodów podatkowych niezbędnych do współfinansowania działań lokalnych, ale też decydujący głos w planowaniu działań na rzecz wspólnoty mieszkańców Gminy Bychawa. </w:t>
      </w:r>
    </w:p>
    <w:p>
      <w:pPr>
        <w:pStyle w:val="NormalWeb"/>
        <w:spacing w:lineRule="auto" w:line="360" w:before="280" w:after="280"/>
        <w:jc w:val="both"/>
        <w:rPr>
          <w:rFonts w:ascii="Arial" w:hAnsi="Arial" w:cs="Arial"/>
        </w:rPr>
      </w:pPr>
      <w:r>
        <w:rPr>
          <w:rFonts w:cs="Arial" w:ascii="Arial" w:hAnsi="Arial"/>
        </w:rPr>
        <w:tab/>
        <w:t>W analizie badanych pod względem miejsca zamieszkania nieznacznie większą część stanowili mieszkańcy Miasta Bychawa - 53,6%, natomiast wieś w badaniach prezentowało 46,3% badanych. Taki wynik może być typowym rozkładem z uwagi na lepszy dostęp mieszkańców miasta do internetu i udział w badaniu z wykorzystaniem ankiety dostępnej na stronie Urzędu Gminy Bychawa.</w:t>
      </w:r>
    </w:p>
    <w:p>
      <w:pPr>
        <w:pStyle w:val="NormalWeb"/>
        <w:spacing w:lineRule="auto" w:line="360" w:before="280" w:after="280"/>
        <w:ind w:firstLine="708"/>
        <w:jc w:val="both"/>
        <w:rPr>
          <w:rFonts w:ascii="Arial" w:hAnsi="Arial" w:cs="Arial"/>
        </w:rPr>
      </w:pPr>
      <w:r>
        <w:rPr>
          <w:rFonts w:cs="Arial" w:ascii="Arial" w:hAnsi="Arial"/>
        </w:rPr>
        <w:t>Rezultaty uzyskane wyniku badań prezentowane poniżej odzwierciedlają realną sytuację w zakresie rynku usług społecznych oraz zapotrzebowania na usługi. Na pytanie „Czy korzysta Pan/Pani z usług społecznych (odpłatnych lub nieodpłatnych) w miejscu swojego zamieszkania?” uzyskano poniższe wskazania:</w:t>
      </w:r>
    </w:p>
    <w:p>
      <w:pPr>
        <w:pStyle w:val="NormalWeb"/>
        <w:numPr>
          <w:ilvl w:val="0"/>
          <w:numId w:val="14"/>
        </w:numPr>
        <w:spacing w:lineRule="auto" w:line="360" w:before="280" w:after="0"/>
        <w:jc w:val="both"/>
        <w:rPr>
          <w:rFonts w:ascii="Arial" w:hAnsi="Arial" w:cs="Arial"/>
        </w:rPr>
      </w:pPr>
      <w:r>
        <w:rPr>
          <w:rFonts w:cs="Arial" w:ascii="Arial" w:hAnsi="Arial"/>
        </w:rPr>
        <w:t xml:space="preserve">– </w:t>
      </w:r>
      <w:r>
        <w:rPr>
          <w:rFonts w:cs="Arial" w:ascii="Arial" w:hAnsi="Arial"/>
        </w:rPr>
        <w:t xml:space="preserve">60% odpowiedziało „nie korzystam”, </w:t>
      </w:r>
    </w:p>
    <w:p>
      <w:pPr>
        <w:pStyle w:val="NormalWeb"/>
        <w:numPr>
          <w:ilvl w:val="0"/>
          <w:numId w:val="14"/>
        </w:numPr>
        <w:spacing w:lineRule="auto" w:line="360" w:before="0" w:after="0"/>
        <w:jc w:val="both"/>
        <w:rPr>
          <w:rFonts w:ascii="Arial" w:hAnsi="Arial" w:cs="Arial"/>
        </w:rPr>
      </w:pPr>
      <w:r>
        <w:rPr>
          <w:rFonts w:cs="Arial" w:ascii="Arial" w:hAnsi="Arial"/>
        </w:rPr>
        <w:t xml:space="preserve">– </w:t>
      </w:r>
      <w:r>
        <w:rPr>
          <w:rFonts w:cs="Arial" w:ascii="Arial" w:hAnsi="Arial"/>
        </w:rPr>
        <w:t>20% wskazało „korzystam”,</w:t>
      </w:r>
      <w:bookmarkStart w:id="28" w:name="_Hlk211255601"/>
    </w:p>
    <w:p>
      <w:pPr>
        <w:pStyle w:val="NormalWeb"/>
        <w:numPr>
          <w:ilvl w:val="0"/>
          <w:numId w:val="14"/>
        </w:numPr>
        <w:spacing w:lineRule="auto" w:line="360" w:before="0" w:after="0"/>
        <w:jc w:val="both"/>
        <w:rPr>
          <w:rFonts w:ascii="Arial" w:hAnsi="Arial" w:cs="Arial"/>
        </w:rPr>
      </w:pPr>
      <w:r>
        <w:rPr>
          <w:rFonts w:cs="Arial" w:ascii="Arial" w:hAnsi="Arial"/>
        </w:rPr>
        <w:t xml:space="preserve">– </w:t>
      </w:r>
      <w:bookmarkEnd w:id="28"/>
      <w:r>
        <w:rPr>
          <w:rFonts w:cs="Arial" w:ascii="Arial" w:hAnsi="Arial"/>
        </w:rPr>
        <w:t>23% wskazało „nie wiem, czy to z czego korzystam jest usługą społeczną”,</w:t>
      </w:r>
      <w:bookmarkStart w:id="29" w:name="_Hlk211256213"/>
    </w:p>
    <w:p>
      <w:pPr>
        <w:pStyle w:val="NormalWeb"/>
        <w:numPr>
          <w:ilvl w:val="0"/>
          <w:numId w:val="14"/>
        </w:numPr>
        <w:spacing w:lineRule="auto" w:line="360" w:before="0" w:after="280"/>
        <w:jc w:val="both"/>
        <w:rPr>
          <w:rFonts w:ascii="Arial" w:hAnsi="Arial" w:cs="Arial"/>
        </w:rPr>
      </w:pPr>
      <w:r>
        <w:rPr>
          <w:rFonts w:cs="Arial" w:ascii="Arial" w:hAnsi="Arial"/>
        </w:rPr>
        <w:t>–</w:t>
      </w:r>
      <w:bookmarkEnd w:id="29"/>
      <w:r>
        <w:rPr>
          <w:rFonts w:cs="Arial" w:ascii="Arial" w:hAnsi="Arial"/>
        </w:rPr>
        <w:t xml:space="preserve"> </w:t>
      </w:r>
      <w:r>
        <w:rPr>
          <w:rFonts w:cs="Arial" w:ascii="Arial" w:hAnsi="Arial"/>
        </w:rPr>
        <w:t>7% odpowiedziało, że „korzystałbym/korzystałabym, gdyby takie usługi były”.</w:t>
      </w:r>
    </w:p>
    <w:p>
      <w:pPr>
        <w:pStyle w:val="Normal"/>
        <w:spacing w:lineRule="auto" w:line="360"/>
        <w:ind w:firstLine="708"/>
        <w:jc w:val="both"/>
        <w:rPr>
          <w:rFonts w:ascii="Arial" w:hAnsi="Arial" w:cs="Arial"/>
        </w:rPr>
      </w:pPr>
      <w:r>
        <w:rPr>
          <w:rFonts w:cs="Arial" w:ascii="Arial" w:hAnsi="Arial"/>
        </w:rPr>
        <w:t xml:space="preserve">Taki rozkład opinii wskazuje na słabą znajomość tematyki związanej z „usługą społeczną co do zasady” oraz słabo dostępną ofertą usług społecznych na terenie Gminy Bychawa. </w:t>
      </w:r>
    </w:p>
    <w:p>
      <w:pPr>
        <w:pStyle w:val="Normal"/>
        <w:spacing w:lineRule="auto" w:line="360"/>
        <w:ind w:firstLine="708"/>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Usługi społeczne są mało znane z powodu braku jednolitej definicji, słabej komunikacji ze strony instytucji je świadczących, braku świadomości społecznej na ich temat oraz traktowania ich jako obszaru pomocy społecznej, a nie szerszej dziedziny. Wiele osób kojarzy te usługi wyłącznie z pomocą najuboższym, podczas gdy obejmują one szeroki zakres wsparcia. </w:t>
      </w:r>
    </w:p>
    <w:p>
      <w:pPr>
        <w:pStyle w:val="Normal"/>
        <w:spacing w:lineRule="auto" w:line="360"/>
        <w:ind w:firstLine="708"/>
        <w:jc w:val="both"/>
        <w:rPr>
          <w:rFonts w:ascii="Arial" w:hAnsi="Arial" w:cs="Arial"/>
        </w:rPr>
      </w:pPr>
      <w:r>
        <w:rPr>
          <w:rFonts w:eastAsia="Times New Roman" w:cs="Arial" w:ascii="Arial" w:hAnsi="Arial"/>
          <w:kern w:val="0"/>
          <w:lang w:eastAsia="pl-PL"/>
          <w14:ligatures w14:val="none"/>
        </w:rPr>
        <w:t>Nieco inaczej prezentuje się rozkład opinii wobec zainteresowania usługami społecznymi. Na pytanie „</w:t>
      </w:r>
      <w:r>
        <w:rPr>
          <w:rFonts w:cs="Arial" w:ascii="Arial" w:hAnsi="Arial"/>
        </w:rPr>
        <w:t>Czy będzie Pan/Pani zainteresowana korzystaniem z usług społecznych, jeśli zostaną zapewnione na terenie Gminy Bychawa?” uzyskano poniżej prezentowane odpowiedzi:</w:t>
      </w:r>
    </w:p>
    <w:p>
      <w:pPr>
        <w:pStyle w:val="Normal"/>
        <w:spacing w:lineRule="auto" w:line="276"/>
        <w:ind w:firstLine="708"/>
        <w:jc w:val="both"/>
        <w:rPr>
          <w:rFonts w:ascii="Arial" w:hAnsi="Arial" w:cs="Arial"/>
        </w:rPr>
      </w:pPr>
      <w:r>
        <w:rPr>
          <w:rFonts w:cs="Arial" w:ascii="Arial" w:hAnsi="Arial"/>
        </w:rPr>
        <w:t xml:space="preserve">– </w:t>
      </w:r>
      <w:r>
        <w:rPr>
          <w:rFonts w:cs="Arial" w:ascii="Arial" w:hAnsi="Arial"/>
        </w:rPr>
        <w:t>61% wskazań na „tak”</w:t>
      </w:r>
    </w:p>
    <w:p>
      <w:pPr>
        <w:pStyle w:val="Normal"/>
        <w:spacing w:lineRule="auto" w:line="276"/>
        <w:ind w:firstLine="708"/>
        <w:jc w:val="both"/>
        <w:rPr>
          <w:rFonts w:ascii="Arial" w:hAnsi="Arial" w:cs="Arial"/>
        </w:rPr>
      </w:pPr>
      <w:r>
        <w:rPr>
          <w:rFonts w:cs="Arial" w:ascii="Arial" w:hAnsi="Arial"/>
        </w:rPr>
        <w:t xml:space="preserve">– </w:t>
      </w:r>
      <w:r>
        <w:rPr>
          <w:rFonts w:cs="Arial" w:ascii="Arial" w:hAnsi="Arial"/>
        </w:rPr>
        <w:t>43% wskazań na „trudno powiedzieć”</w:t>
      </w:r>
    </w:p>
    <w:p>
      <w:pPr>
        <w:pStyle w:val="Normal"/>
        <w:spacing w:lineRule="auto" w:line="276"/>
        <w:ind w:firstLine="708"/>
        <w:jc w:val="both"/>
        <w:rPr>
          <w:rFonts w:ascii="Arial" w:hAnsi="Arial" w:cs="Arial"/>
        </w:rPr>
      </w:pPr>
      <w:r>
        <w:rPr>
          <w:rFonts w:cs="Arial" w:ascii="Arial" w:hAnsi="Arial"/>
        </w:rPr>
        <w:t xml:space="preserve">– </w:t>
      </w:r>
      <w:r>
        <w:rPr>
          <w:rFonts w:cs="Arial" w:ascii="Arial" w:hAnsi="Arial"/>
        </w:rPr>
        <w:t>6% wskazań na „nie”.</w:t>
      </w:r>
    </w:p>
    <w:p>
      <w:pPr>
        <w:pStyle w:val="Normal"/>
        <w:spacing w:lineRule="auto" w:line="360"/>
        <w:ind w:firstLine="708"/>
        <w:jc w:val="both"/>
        <w:rPr>
          <w:rFonts w:ascii="Arial" w:hAnsi="Arial" w:cs="Arial"/>
        </w:rPr>
      </w:pPr>
      <w:r>
        <w:rPr>
          <w:rFonts w:cs="Arial" w:ascii="Arial" w:hAnsi="Arial"/>
        </w:rPr>
        <w:t xml:space="preserve">Duże zainteresowanie korzystaniem z usług społecznych jest bardzo ważnym wskaźnikiem, nie tylko w powiązaniu z wiekiem badanych. Jest to też sygnał </w:t>
        <w:br/>
        <w:t>o potrzebach, które nie zawsze możliwe są do realizacji wewnątrz struktur rodzinnych czy sąsiedzkich. To także informacja o różnorodności problemów z jakimi spotykają się mieszkańcy nie mogąc rozwiązać ich z wykorzystaniem własnych możliwości.</w:t>
      </w:r>
    </w:p>
    <w:p>
      <w:pPr>
        <w:pStyle w:val="Normal"/>
        <w:spacing w:lineRule="auto" w:line="360"/>
        <w:ind w:firstLine="708"/>
        <w:jc w:val="both"/>
        <w:rPr>
          <w:rFonts w:ascii="Arial" w:hAnsi="Arial" w:cs="Arial"/>
        </w:rPr>
      </w:pPr>
      <w:r>
        <w:rPr>
          <w:rFonts w:cs="Arial" w:ascii="Arial" w:hAnsi="Arial"/>
        </w:rPr>
        <w:t xml:space="preserve">Mimo pozornie niewielkiej świadomości na temat usług społecznych respondenci wykazali dobrą znajomość obszarów, w których mogłyby organizowane usługi społeczne oraz katalog konkretnych usług, z jakich mieszkańcy chcieliby korzystać. </w:t>
      </w:r>
    </w:p>
    <w:p>
      <w:pPr>
        <w:pStyle w:val="Normal"/>
        <w:spacing w:lineRule="auto" w:line="360"/>
        <w:ind w:firstLine="708"/>
        <w:jc w:val="both"/>
        <w:rPr>
          <w:rFonts w:ascii="Arial" w:hAnsi="Arial" w:cs="Arial"/>
        </w:rPr>
      </w:pPr>
      <w:r>
        <w:rPr>
          <w:rFonts w:cs="Arial" w:ascii="Arial" w:hAnsi="Arial"/>
        </w:rPr>
        <w:t xml:space="preserve">Na pytanie „Który z poniżej wymienionych obszarów wymaga Pani/Pana zdaniem największego zainteresowania w rozwoju usług społecznych?” wskazano różne obszary. Szczegółowy rozkład wyborów zamieszczono w dalszej części. </w:t>
      </w:r>
    </w:p>
    <w:p>
      <w:pPr>
        <w:pStyle w:val="NormalWeb"/>
        <w:numPr>
          <w:ilvl w:val="1"/>
          <w:numId w:val="217"/>
        </w:numPr>
        <w:spacing w:lineRule="auto" w:line="360" w:before="280" w:after="0"/>
        <w:jc w:val="both"/>
        <w:rPr>
          <w:rFonts w:ascii="Arial" w:hAnsi="Arial" w:cs="Arial"/>
        </w:rPr>
      </w:pPr>
      <w:r>
        <w:rPr>
          <w:rFonts w:cs="Arial" w:ascii="Arial" w:hAnsi="Arial"/>
        </w:rPr>
        <w:t xml:space="preserve"> </w:t>
      </w:r>
      <w:r>
        <w:rPr>
          <w:rFonts w:cs="Arial" w:ascii="Arial" w:hAnsi="Arial"/>
        </w:rPr>
        <w:t xml:space="preserve">Ochrona zdrowia </w:t>
      </w:r>
      <w:bookmarkStart w:id="30" w:name="_Hlk211257662"/>
      <w:r>
        <w:rPr>
          <w:rFonts w:cs="Arial" w:ascii="Arial" w:hAnsi="Arial"/>
        </w:rPr>
        <w:tab/>
        <w:tab/>
        <w:tab/>
        <w:tab/>
        <w:tab/>
        <w:tab/>
        <w:t>–</w:t>
      </w:r>
      <w:bookmarkEnd w:id="30"/>
      <w:r>
        <w:rPr>
          <w:rFonts w:cs="Arial" w:ascii="Arial" w:hAnsi="Arial"/>
        </w:rPr>
        <w:t xml:space="preserve"> 43%</w:t>
      </w:r>
    </w:p>
    <w:p>
      <w:pPr>
        <w:pStyle w:val="NormalWeb"/>
        <w:numPr>
          <w:ilvl w:val="1"/>
          <w:numId w:val="218"/>
        </w:numPr>
        <w:spacing w:lineRule="auto" w:line="360" w:before="0" w:after="0"/>
        <w:jc w:val="both"/>
        <w:rPr>
          <w:rFonts w:ascii="Arial" w:hAnsi="Arial" w:cs="Arial"/>
        </w:rPr>
      </w:pPr>
      <w:r>
        <w:rPr>
          <w:rFonts w:cs="Arial" w:ascii="Arial" w:hAnsi="Arial"/>
        </w:rPr>
        <w:t xml:space="preserve"> </w:t>
      </w:r>
      <w:r>
        <w:rPr>
          <w:rFonts w:cs="Arial" w:ascii="Arial" w:hAnsi="Arial"/>
        </w:rPr>
        <w:t xml:space="preserve">Edukacja i szkolnictwo </w:t>
        <w:tab/>
        <w:tab/>
        <w:tab/>
        <w:tab/>
        <w:tab/>
        <w:t>– 39%</w:t>
      </w:r>
    </w:p>
    <w:p>
      <w:pPr>
        <w:pStyle w:val="NormalWeb"/>
        <w:numPr>
          <w:ilvl w:val="1"/>
          <w:numId w:val="219"/>
        </w:numPr>
        <w:spacing w:lineRule="auto" w:line="360" w:before="0" w:after="0"/>
        <w:jc w:val="both"/>
        <w:rPr>
          <w:rFonts w:ascii="Arial" w:hAnsi="Arial" w:cs="Arial"/>
        </w:rPr>
      </w:pPr>
      <w:r>
        <w:rPr>
          <w:rFonts w:cs="Arial" w:ascii="Arial" w:hAnsi="Arial"/>
        </w:rPr>
        <w:t xml:space="preserve"> </w:t>
      </w:r>
      <w:r>
        <w:rPr>
          <w:rFonts w:cs="Arial" w:ascii="Arial" w:hAnsi="Arial"/>
        </w:rPr>
        <w:t xml:space="preserve">Opieka przedszkolna </w:t>
        <w:tab/>
        <w:tab/>
        <w:tab/>
        <w:tab/>
        <w:tab/>
        <w:t>– 6%</w:t>
      </w:r>
    </w:p>
    <w:p>
      <w:pPr>
        <w:pStyle w:val="NormalWeb"/>
        <w:numPr>
          <w:ilvl w:val="1"/>
          <w:numId w:val="220"/>
        </w:numPr>
        <w:spacing w:lineRule="auto" w:line="360" w:before="0" w:after="0"/>
        <w:jc w:val="both"/>
        <w:rPr>
          <w:rFonts w:ascii="Arial" w:hAnsi="Arial" w:cs="Arial"/>
        </w:rPr>
      </w:pPr>
      <w:r>
        <w:rPr>
          <w:rFonts w:cs="Arial" w:ascii="Arial" w:hAnsi="Arial"/>
        </w:rPr>
        <w:t xml:space="preserve"> </w:t>
      </w:r>
      <w:r>
        <w:rPr>
          <w:rFonts w:cs="Arial" w:ascii="Arial" w:hAnsi="Arial"/>
        </w:rPr>
        <w:t>Zapewnienie opieki dzieciom do lat 3</w:t>
        <w:tab/>
        <w:tab/>
        <w:tab/>
        <w:t>– 9%</w:t>
      </w:r>
    </w:p>
    <w:p>
      <w:pPr>
        <w:pStyle w:val="NormalWeb"/>
        <w:numPr>
          <w:ilvl w:val="1"/>
          <w:numId w:val="221"/>
        </w:numPr>
        <w:spacing w:lineRule="auto" w:line="360" w:before="0" w:after="0"/>
        <w:jc w:val="both"/>
        <w:rPr>
          <w:rFonts w:ascii="Arial" w:hAnsi="Arial" w:cs="Arial"/>
        </w:rPr>
      </w:pPr>
      <w:r>
        <w:rPr>
          <w:rFonts w:cs="Arial" w:ascii="Arial" w:hAnsi="Arial"/>
        </w:rPr>
        <w:t xml:space="preserve"> </w:t>
      </w:r>
      <w:r>
        <w:rPr>
          <w:rFonts w:cs="Arial" w:ascii="Arial" w:hAnsi="Arial"/>
        </w:rPr>
        <w:t xml:space="preserve">Kultura i rozrywka </w:t>
        <w:tab/>
        <w:tab/>
        <w:tab/>
        <w:tab/>
        <w:tab/>
        <w:tab/>
        <w:t>– 35%</w:t>
      </w:r>
    </w:p>
    <w:p>
      <w:pPr>
        <w:pStyle w:val="NormalWeb"/>
        <w:numPr>
          <w:ilvl w:val="1"/>
          <w:numId w:val="222"/>
        </w:numPr>
        <w:spacing w:lineRule="auto" w:line="360" w:before="0" w:after="0"/>
        <w:jc w:val="both"/>
        <w:rPr>
          <w:rFonts w:ascii="Arial" w:hAnsi="Arial" w:cs="Arial"/>
        </w:rPr>
      </w:pPr>
      <w:r>
        <w:rPr>
          <w:rFonts w:cs="Arial" w:ascii="Arial" w:hAnsi="Arial"/>
        </w:rPr>
        <w:t xml:space="preserve"> </w:t>
      </w:r>
      <w:r>
        <w:rPr>
          <w:rFonts w:cs="Arial" w:ascii="Arial" w:hAnsi="Arial"/>
        </w:rPr>
        <w:t xml:space="preserve">Sport </w:t>
        <w:tab/>
        <w:tab/>
        <w:tab/>
        <w:tab/>
        <w:tab/>
        <w:tab/>
        <w:tab/>
        <w:t>– 13%</w:t>
      </w:r>
    </w:p>
    <w:p>
      <w:pPr>
        <w:pStyle w:val="NormalWeb"/>
        <w:numPr>
          <w:ilvl w:val="1"/>
          <w:numId w:val="223"/>
        </w:numPr>
        <w:spacing w:lineRule="auto" w:line="360" w:before="0" w:after="0"/>
        <w:jc w:val="both"/>
        <w:rPr>
          <w:rFonts w:ascii="Arial" w:hAnsi="Arial" w:cs="Arial"/>
        </w:rPr>
      </w:pPr>
      <w:r>
        <w:rPr>
          <w:rFonts w:cs="Arial" w:ascii="Arial" w:hAnsi="Arial"/>
        </w:rPr>
        <w:t xml:space="preserve"> </w:t>
      </w:r>
      <w:r>
        <w:rPr>
          <w:rFonts w:cs="Arial" w:ascii="Arial" w:hAnsi="Arial"/>
        </w:rPr>
        <w:t xml:space="preserve">Turystyka </w:t>
        <w:tab/>
        <w:tab/>
        <w:tab/>
        <w:tab/>
        <w:tab/>
        <w:tab/>
        <w:tab/>
        <w:t>– 14%</w:t>
      </w:r>
    </w:p>
    <w:p>
      <w:pPr>
        <w:pStyle w:val="NormalWeb"/>
        <w:numPr>
          <w:ilvl w:val="1"/>
          <w:numId w:val="224"/>
        </w:numPr>
        <w:spacing w:lineRule="auto" w:line="360" w:before="0" w:after="0"/>
        <w:jc w:val="both"/>
        <w:rPr>
          <w:rFonts w:ascii="Arial" w:hAnsi="Arial" w:cs="Arial"/>
        </w:rPr>
      </w:pPr>
      <w:r>
        <w:rPr>
          <w:rFonts w:cs="Arial" w:ascii="Arial" w:hAnsi="Arial"/>
        </w:rPr>
        <w:t xml:space="preserve"> </w:t>
      </w:r>
      <w:r>
        <w:rPr>
          <w:rFonts w:cs="Arial" w:ascii="Arial" w:hAnsi="Arial"/>
        </w:rPr>
        <w:t xml:space="preserve">Wspieranie rodziny </w:t>
        <w:tab/>
        <w:tab/>
        <w:tab/>
        <w:tab/>
        <w:tab/>
        <w:t>– 43%</w:t>
      </w:r>
    </w:p>
    <w:p>
      <w:pPr>
        <w:pStyle w:val="NormalWeb"/>
        <w:numPr>
          <w:ilvl w:val="1"/>
          <w:numId w:val="225"/>
        </w:numPr>
        <w:spacing w:lineRule="auto" w:line="360" w:before="0" w:after="0"/>
        <w:jc w:val="both"/>
        <w:rPr>
          <w:rFonts w:ascii="Arial" w:hAnsi="Arial" w:cs="Arial"/>
        </w:rPr>
      </w:pPr>
      <w:r>
        <w:rPr>
          <w:rFonts w:cs="Arial" w:ascii="Arial" w:hAnsi="Arial"/>
        </w:rPr>
        <w:t xml:space="preserve"> </w:t>
      </w:r>
      <w:r>
        <w:rPr>
          <w:rFonts w:cs="Arial" w:ascii="Arial" w:hAnsi="Arial"/>
        </w:rPr>
        <w:t xml:space="preserve">Wspieranie osób niepełnosprawnych i ich rodzin </w:t>
        <w:tab/>
        <w:t>– 47%</w:t>
      </w:r>
    </w:p>
    <w:p>
      <w:pPr>
        <w:pStyle w:val="NormalWeb"/>
        <w:numPr>
          <w:ilvl w:val="1"/>
          <w:numId w:val="226"/>
        </w:numPr>
        <w:spacing w:lineRule="auto" w:line="360" w:before="0" w:after="0"/>
        <w:jc w:val="both"/>
        <w:rPr>
          <w:rFonts w:ascii="Arial" w:hAnsi="Arial" w:cs="Arial"/>
        </w:rPr>
      </w:pPr>
      <w:r>
        <w:rPr>
          <w:rFonts w:cs="Arial" w:ascii="Arial" w:hAnsi="Arial"/>
        </w:rPr>
        <w:t xml:space="preserve"> </w:t>
      </w:r>
      <w:r>
        <w:rPr>
          <w:rFonts w:cs="Arial" w:ascii="Arial" w:hAnsi="Arial"/>
        </w:rPr>
        <w:t xml:space="preserve">Wspieranie osób dotkniętych przemocą domową </w:t>
        <w:tab/>
        <w:t>– 18%</w:t>
      </w:r>
    </w:p>
    <w:p>
      <w:pPr>
        <w:pStyle w:val="NormalWeb"/>
        <w:numPr>
          <w:ilvl w:val="1"/>
          <w:numId w:val="227"/>
        </w:numPr>
        <w:spacing w:lineRule="auto" w:line="360" w:before="0" w:after="0"/>
        <w:jc w:val="both"/>
        <w:rPr>
          <w:rFonts w:ascii="Arial" w:hAnsi="Arial" w:cs="Arial"/>
        </w:rPr>
      </w:pPr>
      <w:r>
        <w:rPr>
          <w:rFonts w:cs="Arial" w:ascii="Arial" w:hAnsi="Arial"/>
        </w:rPr>
        <w:t xml:space="preserve"> </w:t>
      </w:r>
      <w:r>
        <w:rPr>
          <w:rFonts w:cs="Arial" w:ascii="Arial" w:hAnsi="Arial"/>
        </w:rPr>
        <w:t xml:space="preserve">Wspieranie seniorów i ich rodzin </w:t>
        <w:tab/>
        <w:tab/>
        <w:tab/>
        <w:t>– 38%</w:t>
      </w:r>
    </w:p>
    <w:p>
      <w:pPr>
        <w:pStyle w:val="NormalWeb"/>
        <w:numPr>
          <w:ilvl w:val="1"/>
          <w:numId w:val="228"/>
        </w:numPr>
        <w:spacing w:lineRule="auto" w:line="360" w:before="0" w:after="280"/>
        <w:jc w:val="both"/>
        <w:rPr>
          <w:rFonts w:ascii="Arial" w:hAnsi="Arial" w:cs="Arial"/>
        </w:rPr>
      </w:pPr>
      <w:r>
        <w:rPr>
          <w:rFonts w:cs="Arial" w:ascii="Arial" w:hAnsi="Arial"/>
        </w:rPr>
        <w:t xml:space="preserve"> </w:t>
      </w:r>
      <w:r>
        <w:rPr>
          <w:rFonts w:cs="Arial" w:ascii="Arial" w:hAnsi="Arial"/>
        </w:rPr>
        <w:t>Inny obszar - proszę wskazać jaki – wskazano bezpieczeństwo mieszkańców</w:t>
        <w:tab/>
        <w:t xml:space="preserve"> </w:t>
        <w:tab/>
        <w:tab/>
        <w:tab/>
        <w:tab/>
        <w:tab/>
        <w:t>–  2% wyborów.</w:t>
      </w:r>
    </w:p>
    <w:p>
      <w:pPr>
        <w:pStyle w:val="NormalWeb"/>
        <w:spacing w:lineRule="auto" w:line="480" w:before="280" w:after="280"/>
        <w:jc w:val="both"/>
        <w:rPr>
          <w:rFonts w:ascii="Arial" w:hAnsi="Arial" w:cs="Arial"/>
        </w:rPr>
      </w:pPr>
      <w:r>
        <w:rPr>
          <w:rFonts w:cs="Arial" w:ascii="Arial" w:hAnsi="Arial"/>
        </w:rPr>
        <w:t xml:space="preserve">Najwięcej wskazań dotyczyło: </w:t>
      </w:r>
    </w:p>
    <w:p>
      <w:pPr>
        <w:pStyle w:val="NormalWeb"/>
        <w:numPr>
          <w:ilvl w:val="0"/>
          <w:numId w:val="12"/>
        </w:numPr>
        <w:spacing w:lineRule="auto" w:line="360" w:before="280" w:after="0"/>
        <w:jc w:val="both"/>
        <w:rPr>
          <w:rFonts w:ascii="Arial" w:hAnsi="Arial" w:cs="Arial"/>
        </w:rPr>
      </w:pPr>
      <w:r>
        <w:rPr>
          <w:rFonts w:cs="Arial" w:ascii="Arial" w:hAnsi="Arial"/>
        </w:rPr>
        <w:t xml:space="preserve">Wspierania osób niepełnosprawnych i ich rodzin  </w:t>
        <w:tab/>
        <w:t>– 47%,</w:t>
      </w:r>
    </w:p>
    <w:p>
      <w:pPr>
        <w:pStyle w:val="NormalWeb"/>
        <w:numPr>
          <w:ilvl w:val="0"/>
          <w:numId w:val="12"/>
        </w:numPr>
        <w:spacing w:lineRule="auto" w:line="360" w:before="0" w:after="0"/>
        <w:jc w:val="both"/>
        <w:rPr>
          <w:rFonts w:ascii="Arial" w:hAnsi="Arial" w:cs="Arial"/>
        </w:rPr>
      </w:pPr>
      <w:r>
        <w:rPr>
          <w:rFonts w:cs="Arial" w:ascii="Arial" w:hAnsi="Arial"/>
        </w:rPr>
        <w:t xml:space="preserve">Wspierania rodziny </w:t>
        <w:tab/>
        <w:tab/>
        <w:tab/>
        <w:tab/>
        <w:tab/>
        <w:t>– 43%</w:t>
      </w:r>
    </w:p>
    <w:p>
      <w:pPr>
        <w:pStyle w:val="NormalWeb"/>
        <w:numPr>
          <w:ilvl w:val="0"/>
          <w:numId w:val="12"/>
        </w:numPr>
        <w:spacing w:lineRule="auto" w:line="360" w:before="0" w:after="0"/>
        <w:jc w:val="both"/>
        <w:rPr>
          <w:rFonts w:ascii="Arial" w:hAnsi="Arial" w:cs="Arial"/>
        </w:rPr>
      </w:pPr>
      <w:r>
        <w:rPr>
          <w:rFonts w:cs="Arial" w:ascii="Arial" w:hAnsi="Arial"/>
        </w:rPr>
        <w:t xml:space="preserve">Ochrony zdrowia </w:t>
        <w:tab/>
        <w:tab/>
        <w:tab/>
        <w:tab/>
        <w:tab/>
        <w:tab/>
        <w:t>– 43%</w:t>
      </w:r>
    </w:p>
    <w:p>
      <w:pPr>
        <w:pStyle w:val="NormalWeb"/>
        <w:numPr>
          <w:ilvl w:val="0"/>
          <w:numId w:val="12"/>
        </w:numPr>
        <w:spacing w:lineRule="auto" w:line="360" w:before="0" w:after="0"/>
        <w:jc w:val="both"/>
        <w:rPr>
          <w:rFonts w:ascii="Arial" w:hAnsi="Arial" w:cs="Arial"/>
        </w:rPr>
      </w:pPr>
      <w:r>
        <w:rPr>
          <w:rFonts w:cs="Arial" w:ascii="Arial" w:hAnsi="Arial"/>
        </w:rPr>
        <w:t xml:space="preserve">Edukacji i szkolnictwa </w:t>
        <w:tab/>
        <w:tab/>
        <w:tab/>
        <w:tab/>
        <w:tab/>
        <w:t>– 39%</w:t>
      </w:r>
    </w:p>
    <w:p>
      <w:pPr>
        <w:pStyle w:val="NormalWeb"/>
        <w:numPr>
          <w:ilvl w:val="0"/>
          <w:numId w:val="12"/>
        </w:numPr>
        <w:spacing w:lineRule="auto" w:line="360" w:before="0" w:after="280"/>
        <w:jc w:val="both"/>
        <w:rPr>
          <w:rFonts w:ascii="Arial" w:hAnsi="Arial" w:cs="Arial"/>
        </w:rPr>
      </w:pPr>
      <w:r>
        <w:rPr>
          <w:rFonts w:cs="Arial" w:ascii="Arial" w:hAnsi="Arial"/>
        </w:rPr>
        <w:t xml:space="preserve">Wspierania seniorów i ich rodzin </w:t>
        <w:tab/>
        <w:tab/>
        <w:tab/>
        <w:tab/>
        <w:t>– 38%.</w:t>
      </w:r>
    </w:p>
    <w:p>
      <w:pPr>
        <w:pStyle w:val="NormalWeb"/>
        <w:spacing w:lineRule="auto" w:line="360" w:before="280" w:after="280"/>
        <w:ind w:firstLine="708"/>
        <w:jc w:val="both"/>
        <w:rPr>
          <w:rFonts w:ascii="Arial" w:hAnsi="Arial" w:cs="Arial"/>
        </w:rPr>
      </w:pPr>
      <w:r>
        <w:rPr>
          <w:rFonts w:cs="Arial" w:ascii="Arial" w:hAnsi="Arial"/>
        </w:rPr>
        <w:t xml:space="preserve">Analizując rozkład wskazań można stwierdzić, że najwięcej potrzeb generuje problem niepełnosprawności, co przekłada się nie tylko na problemy samych osób nią dotkniętych, ale też rodzin osób niepełnosprawnych. </w:t>
      </w:r>
    </w:p>
    <w:p>
      <w:pPr>
        <w:pStyle w:val="NormalWeb"/>
        <w:spacing w:lineRule="auto" w:line="360" w:before="280" w:after="280"/>
        <w:ind w:firstLine="708"/>
        <w:jc w:val="both"/>
        <w:rPr>
          <w:rFonts w:ascii="Arial" w:hAnsi="Arial" w:cs="Arial"/>
        </w:rPr>
      </w:pPr>
      <w:r>
        <w:rPr>
          <w:rFonts w:cs="Arial" w:ascii="Arial" w:hAnsi="Arial"/>
        </w:rPr>
        <w:t>Wspieranie rodziny jako obszar problemowy, wymagający rozwoju usług społecznych pojawiło się na drugim miejscu. Wskazania w badaniach obejmowały ogólnie kategorię „rodzina” a więc różne rodziny, z różnymi problemami i potrzebami.</w:t>
      </w:r>
    </w:p>
    <w:p>
      <w:pPr>
        <w:pStyle w:val="NormalWeb"/>
        <w:spacing w:lineRule="auto" w:line="360" w:before="280" w:after="280"/>
        <w:ind w:firstLine="708"/>
        <w:jc w:val="both"/>
        <w:rPr>
          <w:rFonts w:ascii="Arial" w:hAnsi="Arial" w:cs="Arial"/>
        </w:rPr>
      </w:pPr>
      <w:r>
        <w:rPr>
          <w:rFonts w:cs="Arial" w:ascii="Arial" w:hAnsi="Arial"/>
        </w:rPr>
        <w:t>Bardziej szczegółowy opis potrzeb i usług dla rodzin pojawi się w dalszej części analizy wyników badań, a konkretnie w analizie wywiadów pogłębionych i badań fokusowych.</w:t>
      </w:r>
    </w:p>
    <w:p>
      <w:pPr>
        <w:pStyle w:val="NormalWeb"/>
        <w:spacing w:lineRule="auto" w:line="360" w:before="280" w:after="280"/>
        <w:ind w:firstLine="708"/>
        <w:jc w:val="both"/>
        <w:rPr>
          <w:rFonts w:ascii="Arial" w:hAnsi="Arial" w:cs="Arial"/>
        </w:rPr>
      </w:pPr>
      <w:r>
        <w:rPr>
          <w:rFonts w:cs="Arial" w:ascii="Arial" w:hAnsi="Arial"/>
        </w:rPr>
        <w:t xml:space="preserve"> </w:t>
      </w:r>
      <w:r>
        <w:rPr>
          <w:rFonts w:cs="Arial" w:ascii="Arial" w:hAnsi="Arial"/>
        </w:rPr>
        <w:t>Ważny obszar wsparcia wymagający uzupełnienia o usługi społeczne, wskazany w badaniach to także ochrona zdrowia. W dobie trudności w dostępie do świadczeń medycznych jest to bardzo ważne wskazanie, powodujące konieczność podjęcia starań o organizację i dostępność usług medycznych i paramedycznych na poziomie lokalnym. Część z tych usług mogłaby stanowić usługi społeczne realizowane w ramach CUS.</w:t>
      </w:r>
    </w:p>
    <w:p>
      <w:pPr>
        <w:pStyle w:val="NormalWeb"/>
        <w:spacing w:lineRule="auto" w:line="360" w:before="280" w:after="280"/>
        <w:ind w:firstLine="708"/>
        <w:jc w:val="both"/>
        <w:rPr>
          <w:rFonts w:ascii="Arial" w:hAnsi="Arial" w:cs="Arial"/>
        </w:rPr>
      </w:pPr>
      <w:r>
        <w:rPr>
          <w:rFonts w:cs="Arial" w:ascii="Arial" w:hAnsi="Arial"/>
        </w:rPr>
        <w:t>Wskazania potencjalnych obszarów do organizacji usług społecznych obejmuję też edukację i szkolnictwo. Potrzeby w tym zakresie, mimo, że realizowane na poziomie lokalnych szkół wychodzą poza ich możliwości organizacyjne i finansowe, co sprawia, że mieszkańcy będący rodzicami uczniów często poszukują wsparcia w innych instytucjach niż szkoła. Dalsza analiza pokaże też jakiego rodzaju usługami w obszarze edukacji zainteresowani są mieszkańcy Gminy Bychawa.</w:t>
      </w:r>
    </w:p>
    <w:p>
      <w:pPr>
        <w:pStyle w:val="NormalWeb"/>
        <w:spacing w:lineRule="auto" w:line="360" w:before="280" w:after="280"/>
        <w:ind w:firstLine="708"/>
        <w:jc w:val="both"/>
        <w:rPr>
          <w:rFonts w:ascii="Arial" w:hAnsi="Arial" w:cs="Arial"/>
        </w:rPr>
      </w:pPr>
      <w:r>
        <w:rPr>
          <w:rFonts w:cs="Arial" w:ascii="Arial" w:hAnsi="Arial"/>
        </w:rPr>
        <w:t xml:space="preserve">W analizie obszarów problemowych pojawiło się też wskazanie dotyczące konieczności wspierania seniorów i ich rodzin. Ten obszar generowany między innymi sytuacją demograficzną, ale też naturalnym biologicznym stanem seniorów wymaga szczególnego zainteresowania, co nie tylko wynika z badań, ale także założeń polityki senioralnej. </w:t>
      </w:r>
    </w:p>
    <w:p>
      <w:pPr>
        <w:pStyle w:val="NormalWeb"/>
        <w:spacing w:lineRule="auto" w:line="360" w:before="280" w:after="280"/>
        <w:ind w:firstLine="708"/>
        <w:jc w:val="both"/>
        <w:rPr>
          <w:rFonts w:ascii="Arial" w:hAnsi="Arial" w:cs="Arial"/>
        </w:rPr>
      </w:pPr>
      <w:r>
        <w:rPr>
          <w:rFonts w:cs="Arial" w:ascii="Arial" w:hAnsi="Arial"/>
        </w:rPr>
        <w:t>Adekwatnie do obszarów problemowych, w których mogą się pojawiać usługi społeczne badanych zapytano także o rodzaj usługi, jaki byłby najbardziej potrzebny w danym obszarze. Analiza wyników badań wskazuje różnorodność wyborów, ale nie wyczerpuje wszystkich możliwości, jakie mogą być wykorzystane w procesie budowania lokalnego systemu usług społecznych realizowanych przez CUS. Prezentowane poniżej wyniki usystematyzowano w porządku przypisanym kolejnym pytaniom wskazanym w ankiecie, ale wyniki wyborów odpowiedzi na poszczególne pytania przedstawiono w kolejności od wartości najwyższych do najniższych.</w:t>
      </w:r>
    </w:p>
    <w:p>
      <w:pPr>
        <w:pStyle w:val="NormalWeb"/>
        <w:spacing w:lineRule="auto" w:line="360" w:before="280" w:after="280"/>
        <w:ind w:firstLine="708"/>
        <w:jc w:val="both"/>
        <w:rPr>
          <w:rFonts w:ascii="Arial" w:hAnsi="Arial" w:cs="Arial"/>
          <w:sz w:val="20"/>
          <w:szCs w:val="20"/>
        </w:rPr>
      </w:pPr>
      <w:r>
        <w:rPr>
          <w:rFonts w:cs="Arial" w:ascii="Arial" w:hAnsi="Arial"/>
        </w:rPr>
        <w:t>W obszarze ochrony zdrowia na pytanie „Jaki Pani/Pana zdaniem zakres usług społecznych powinien wypełniać obszar ochrony zdrowia (poza świadczeniami medycznymi dostępnymi i finansowanymi obecnie w ramach Narodowego Funduszu Zdrowia)?”</w:t>
      </w:r>
      <w:r>
        <w:rPr>
          <w:rFonts w:cs="Arial" w:ascii="Arial" w:hAnsi="Arial"/>
          <w:sz w:val="20"/>
          <w:szCs w:val="20"/>
        </w:rPr>
        <w:t xml:space="preserve"> </w:t>
      </w:r>
      <w:r>
        <w:rPr>
          <w:rFonts w:cs="Arial" w:ascii="Arial" w:hAnsi="Arial"/>
        </w:rPr>
        <w:t>wskazano odpowiedzi:</w:t>
      </w:r>
    </w:p>
    <w:p>
      <w:pPr>
        <w:pStyle w:val="NormalWeb"/>
        <w:numPr>
          <w:ilvl w:val="0"/>
          <w:numId w:val="13"/>
        </w:numPr>
        <w:spacing w:lineRule="auto" w:line="360" w:before="280" w:after="0"/>
        <w:jc w:val="both"/>
        <w:rPr>
          <w:rFonts w:ascii="Arial" w:hAnsi="Arial" w:cs="Arial"/>
        </w:rPr>
      </w:pPr>
      <w:r>
        <w:rPr>
          <w:rFonts w:cs="Arial" w:ascii="Arial" w:hAnsi="Arial"/>
        </w:rPr>
        <w:t>usługi rehabilitacyjne – 63%,</w:t>
      </w:r>
    </w:p>
    <w:p>
      <w:pPr>
        <w:pStyle w:val="NormalWeb"/>
        <w:numPr>
          <w:ilvl w:val="0"/>
          <w:numId w:val="13"/>
        </w:numPr>
        <w:spacing w:lineRule="auto" w:line="360" w:before="0" w:after="0"/>
        <w:jc w:val="both"/>
        <w:rPr>
          <w:rFonts w:ascii="Arial" w:hAnsi="Arial" w:cs="Arial"/>
        </w:rPr>
      </w:pPr>
      <w:bookmarkStart w:id="31" w:name="_Hlk211327724"/>
      <w:r>
        <w:rPr>
          <w:rFonts w:cs="Arial" w:ascii="Arial" w:hAnsi="Arial"/>
        </w:rPr>
        <w:t xml:space="preserve">usługi w zakresie powszechnej edukacji mieszkańców o zasadach i sposobie udzielania pierwszej pomocy przedmedycznej </w:t>
      </w:r>
      <w:bookmarkEnd w:id="31"/>
      <w:r>
        <w:rPr>
          <w:rFonts w:cs="Arial" w:ascii="Arial" w:hAnsi="Arial"/>
        </w:rPr>
        <w:t>– 57%,</w:t>
      </w:r>
    </w:p>
    <w:p>
      <w:pPr>
        <w:pStyle w:val="NormalWeb"/>
        <w:numPr>
          <w:ilvl w:val="0"/>
          <w:numId w:val="13"/>
        </w:numPr>
        <w:spacing w:lineRule="auto" w:line="360" w:before="0" w:after="0"/>
        <w:jc w:val="both"/>
        <w:rPr>
          <w:rFonts w:ascii="Arial" w:hAnsi="Arial" w:cs="Arial"/>
        </w:rPr>
      </w:pPr>
      <w:r>
        <w:rPr>
          <w:rFonts w:cs="Arial" w:ascii="Arial" w:hAnsi="Arial"/>
        </w:rPr>
        <w:t>usługi edukacji zdrowotnej (młodzieży, seniorów, osób z problemami zdrowotnymi i niepełnosprawnością) – 53%,</w:t>
      </w:r>
    </w:p>
    <w:p>
      <w:pPr>
        <w:pStyle w:val="NormalWeb"/>
        <w:numPr>
          <w:ilvl w:val="0"/>
          <w:numId w:val="13"/>
        </w:numPr>
        <w:spacing w:lineRule="auto" w:line="360" w:before="0" w:after="0"/>
        <w:jc w:val="both"/>
        <w:rPr>
          <w:rFonts w:ascii="Arial" w:hAnsi="Arial" w:cs="Arial"/>
        </w:rPr>
      </w:pPr>
      <w:r>
        <w:rPr>
          <w:rFonts w:cs="Arial" w:ascii="Arial" w:hAnsi="Arial"/>
        </w:rPr>
        <w:t>usługi w zakresie ćwiczeń ogólnousprawniających i wspomagających funkcjonalność – 41%,</w:t>
      </w:r>
    </w:p>
    <w:p>
      <w:pPr>
        <w:pStyle w:val="NormalWeb"/>
        <w:numPr>
          <w:ilvl w:val="0"/>
          <w:numId w:val="13"/>
        </w:numPr>
        <w:spacing w:lineRule="auto" w:line="360" w:before="0" w:after="0"/>
        <w:jc w:val="both"/>
        <w:rPr>
          <w:rFonts w:ascii="Arial" w:hAnsi="Arial" w:cs="Arial"/>
        </w:rPr>
      </w:pPr>
      <w:r>
        <w:rPr>
          <w:rFonts w:cs="Arial" w:ascii="Arial" w:hAnsi="Arial"/>
        </w:rPr>
        <w:t>usługi w zakresie profilaktyki zdrowia (szczepienia, badania profilaktyczne w ramach usług finansowanych przez gminę itp.) – 39%,</w:t>
      </w:r>
    </w:p>
    <w:p>
      <w:pPr>
        <w:pStyle w:val="NormalWeb"/>
        <w:numPr>
          <w:ilvl w:val="0"/>
          <w:numId w:val="13"/>
        </w:numPr>
        <w:spacing w:lineRule="auto" w:line="360" w:before="0" w:after="280"/>
        <w:jc w:val="both"/>
        <w:rPr>
          <w:rFonts w:ascii="Arial" w:hAnsi="Arial" w:cs="Arial"/>
        </w:rPr>
      </w:pPr>
      <w:r>
        <w:rPr>
          <w:rFonts w:cs="Arial" w:ascii="Arial" w:hAnsi="Arial"/>
        </w:rPr>
        <w:t xml:space="preserve">inne usługi – wskazano 2% wyborów dotyczących wspierania dzieci </w:t>
        <w:br/>
        <w:t>z problemami zdrowia psychicznego oraz 2% wyborów dotyczących usług „o obronności”.</w:t>
      </w:r>
    </w:p>
    <w:p>
      <w:pPr>
        <w:pStyle w:val="NormalWeb"/>
        <w:spacing w:lineRule="auto" w:line="360" w:before="280" w:after="280"/>
        <w:ind w:firstLine="708"/>
        <w:jc w:val="both"/>
        <w:rPr>
          <w:rFonts w:ascii="Arial" w:hAnsi="Arial" w:cs="Arial"/>
        </w:rPr>
      </w:pPr>
      <w:bookmarkStart w:id="32" w:name="_Hlk208163556"/>
      <w:r>
        <w:rPr>
          <w:rFonts w:cs="Arial" w:ascii="Arial" w:hAnsi="Arial"/>
        </w:rPr>
        <w:t xml:space="preserve">W obszarze edukacji i szkolnictwa na pytanie „Jaki Pani/Pana zdaniem zakres usług społecznych powinien wypełniać obszar </w:t>
      </w:r>
      <w:bookmarkEnd w:id="32"/>
      <w:r>
        <w:rPr>
          <w:rFonts w:cs="Arial" w:ascii="Arial" w:hAnsi="Arial"/>
        </w:rPr>
        <w:t>edukacji?” wskazano odpowiedzi:</w:t>
      </w:r>
    </w:p>
    <w:p>
      <w:pPr>
        <w:pStyle w:val="NormalWeb"/>
        <w:numPr>
          <w:ilvl w:val="0"/>
          <w:numId w:val="15"/>
        </w:numPr>
        <w:spacing w:lineRule="auto" w:line="360" w:before="280" w:after="0"/>
        <w:jc w:val="both"/>
        <w:rPr>
          <w:rFonts w:ascii="Arial" w:hAnsi="Arial" w:cs="Arial"/>
        </w:rPr>
      </w:pPr>
      <w:r>
        <w:rPr>
          <w:rFonts w:cs="Arial" w:ascii="Arial" w:hAnsi="Arial"/>
        </w:rPr>
        <w:t>rozwój uzdolnień i zainteresowań – 67%,</w:t>
      </w:r>
    </w:p>
    <w:p>
      <w:pPr>
        <w:pStyle w:val="NormalWeb"/>
        <w:numPr>
          <w:ilvl w:val="0"/>
          <w:numId w:val="15"/>
        </w:numPr>
        <w:spacing w:lineRule="auto" w:line="360" w:before="0" w:after="0"/>
        <w:jc w:val="both"/>
        <w:rPr>
          <w:rFonts w:ascii="Arial" w:hAnsi="Arial" w:cs="Arial"/>
        </w:rPr>
      </w:pPr>
      <w:r>
        <w:rPr>
          <w:rFonts w:cs="Arial" w:ascii="Arial" w:hAnsi="Arial"/>
        </w:rPr>
        <w:t>wyrównywanie braków szkolnych (np. korepetycje) – 52%,</w:t>
      </w:r>
    </w:p>
    <w:p>
      <w:pPr>
        <w:pStyle w:val="NormalWeb"/>
        <w:numPr>
          <w:ilvl w:val="0"/>
          <w:numId w:val="15"/>
        </w:numPr>
        <w:spacing w:lineRule="auto" w:line="360" w:before="0" w:after="0"/>
        <w:jc w:val="both"/>
        <w:rPr>
          <w:rFonts w:ascii="Arial" w:hAnsi="Arial" w:cs="Arial"/>
        </w:rPr>
      </w:pPr>
      <w:r>
        <w:rPr>
          <w:rFonts w:cs="Arial" w:ascii="Arial" w:hAnsi="Arial"/>
        </w:rPr>
        <w:t>naukę języków obcych – 49%,</w:t>
      </w:r>
    </w:p>
    <w:p>
      <w:pPr>
        <w:pStyle w:val="NormalWeb"/>
        <w:numPr>
          <w:ilvl w:val="0"/>
          <w:numId w:val="15"/>
        </w:numPr>
        <w:spacing w:lineRule="auto" w:line="360" w:before="0" w:after="0"/>
        <w:jc w:val="both"/>
        <w:rPr>
          <w:rFonts w:ascii="Arial" w:hAnsi="Arial" w:cs="Arial"/>
        </w:rPr>
      </w:pPr>
      <w:r>
        <w:rPr>
          <w:rFonts w:cs="Arial" w:ascii="Arial" w:hAnsi="Arial"/>
        </w:rPr>
        <w:t>zajęcia socjalizacyjne dla dzieci i młodzieży z problemami rozwojowymi – 44%,</w:t>
      </w:r>
    </w:p>
    <w:p>
      <w:pPr>
        <w:pStyle w:val="NormalWeb"/>
        <w:numPr>
          <w:ilvl w:val="0"/>
          <w:numId w:val="15"/>
        </w:numPr>
        <w:spacing w:lineRule="auto" w:line="360" w:before="0" w:after="280"/>
        <w:jc w:val="both"/>
        <w:rPr>
          <w:rFonts w:ascii="Arial" w:hAnsi="Arial" w:cs="Arial"/>
        </w:rPr>
      </w:pPr>
      <w:r>
        <w:rPr>
          <w:rFonts w:cs="Arial" w:ascii="Arial" w:hAnsi="Arial"/>
        </w:rPr>
        <w:t>zajęcia resocjalizacyjne dla dzieci i młodzieży z problemami w zakresie integracji rówieśniczej i problemami adaptacyjnymi – 42%.</w:t>
      </w:r>
    </w:p>
    <w:p>
      <w:pPr>
        <w:pStyle w:val="NormalWeb"/>
        <w:spacing w:lineRule="auto" w:line="360" w:before="280" w:after="280"/>
        <w:ind w:firstLine="708"/>
        <w:jc w:val="both"/>
        <w:rPr>
          <w:rFonts w:ascii="Arial" w:hAnsi="Arial" w:cs="Arial"/>
        </w:rPr>
      </w:pPr>
      <w:r>
        <w:rPr>
          <w:rFonts w:cs="Arial" w:ascii="Arial" w:hAnsi="Arial"/>
        </w:rPr>
        <w:t>W odpowiedziach dotyczących powyższego pytania nie wskazano innych wyborów.</w:t>
      </w:r>
    </w:p>
    <w:p>
      <w:pPr>
        <w:pStyle w:val="NormalWeb"/>
        <w:spacing w:lineRule="auto" w:line="360" w:before="280" w:after="280"/>
        <w:ind w:firstLine="708"/>
        <w:jc w:val="both"/>
        <w:rPr>
          <w:rFonts w:ascii="Arial" w:hAnsi="Arial" w:cs="Arial"/>
        </w:rPr>
      </w:pPr>
      <w:r>
        <w:rPr>
          <w:rFonts w:cs="Arial" w:ascii="Arial" w:hAnsi="Arial"/>
        </w:rPr>
        <w:t xml:space="preserve">Na pytanie z obszaru opieki nad dziećmi do lat 3 „Jaki Pani/Pana zdaniem zakres usług społecznych powinien wypełniać obszar opieki nad dziećmi do lat trzech oraz dziećmi w wieku przedszkolnym?” który w pytaniach początkowych ankiety nie został wyraźnie zasygnalizowany, obszar ten uzyskał tylko 9% wyborów udzielono odpowiedzi wskazującej na: </w:t>
      </w:r>
    </w:p>
    <w:p>
      <w:pPr>
        <w:pStyle w:val="NormalWeb"/>
        <w:numPr>
          <w:ilvl w:val="0"/>
          <w:numId w:val="16"/>
        </w:numPr>
        <w:spacing w:lineRule="auto" w:line="360" w:before="280" w:after="0"/>
        <w:jc w:val="both"/>
        <w:rPr>
          <w:rFonts w:ascii="Arial" w:hAnsi="Arial" w:cs="Arial"/>
        </w:rPr>
      </w:pPr>
      <w:r>
        <w:rPr>
          <w:rFonts w:cs="Arial" w:ascii="Arial" w:hAnsi="Arial"/>
        </w:rPr>
        <w:t>usługę opieki nad dzieckiem świadczoną na godziny (tylko wówczas, gdy rodzic potrzebuje czasu na załatwienie ważnych spraw) – 86%,</w:t>
      </w:r>
    </w:p>
    <w:p>
      <w:pPr>
        <w:pStyle w:val="NormalWeb"/>
        <w:numPr>
          <w:ilvl w:val="0"/>
          <w:numId w:val="16"/>
        </w:numPr>
        <w:spacing w:lineRule="auto" w:line="360" w:before="0" w:after="0"/>
        <w:jc w:val="both"/>
        <w:rPr>
          <w:rFonts w:ascii="Arial" w:hAnsi="Arial" w:cs="Arial"/>
        </w:rPr>
      </w:pPr>
      <w:r>
        <w:rPr>
          <w:rFonts w:cs="Arial" w:ascii="Arial" w:hAnsi="Arial"/>
        </w:rPr>
        <w:t xml:space="preserve">usługę niani – 44%,  </w:t>
      </w:r>
    </w:p>
    <w:p>
      <w:pPr>
        <w:pStyle w:val="NormalWeb"/>
        <w:numPr>
          <w:ilvl w:val="0"/>
          <w:numId w:val="16"/>
        </w:numPr>
        <w:spacing w:lineRule="auto" w:line="360" w:before="0" w:after="0"/>
        <w:jc w:val="both"/>
        <w:rPr>
          <w:rFonts w:ascii="Arial" w:hAnsi="Arial" w:cs="Arial"/>
        </w:rPr>
      </w:pPr>
      <w:r>
        <w:rPr>
          <w:rFonts w:cs="Arial" w:ascii="Arial" w:hAnsi="Arial"/>
        </w:rPr>
        <w:t>usługę opiekuna dziecka – 35%</w:t>
      </w:r>
    </w:p>
    <w:p>
      <w:pPr>
        <w:pStyle w:val="NormalWeb"/>
        <w:numPr>
          <w:ilvl w:val="0"/>
          <w:numId w:val="16"/>
        </w:numPr>
        <w:spacing w:lineRule="auto" w:line="360" w:before="0" w:after="0"/>
        <w:jc w:val="both"/>
        <w:rPr>
          <w:rFonts w:ascii="Arial" w:hAnsi="Arial" w:cs="Arial"/>
        </w:rPr>
      </w:pPr>
      <w:r>
        <w:rPr>
          <w:rFonts w:cs="Arial" w:ascii="Arial" w:hAnsi="Arial"/>
        </w:rPr>
        <w:t>usługę opiekuna do odprowadzania dziecka do żłobka, przedszkola – 23%,</w:t>
      </w:r>
    </w:p>
    <w:p>
      <w:pPr>
        <w:pStyle w:val="NormalWeb"/>
        <w:numPr>
          <w:ilvl w:val="0"/>
          <w:numId w:val="16"/>
        </w:numPr>
        <w:spacing w:lineRule="auto" w:line="360" w:before="0" w:after="280"/>
        <w:jc w:val="both"/>
        <w:rPr>
          <w:rFonts w:ascii="Arial" w:hAnsi="Arial" w:cs="Arial"/>
        </w:rPr>
      </w:pPr>
      <w:r>
        <w:rPr>
          <w:rFonts w:cs="Arial" w:ascii="Arial" w:hAnsi="Arial"/>
        </w:rPr>
        <w:t xml:space="preserve">inne – jakie; spotkania klubu „młodych mam”, wymiana doświadczeń, wsparcie  –1 wskazanie. </w:t>
      </w:r>
    </w:p>
    <w:p>
      <w:pPr>
        <w:pStyle w:val="NormalWeb"/>
        <w:spacing w:lineRule="auto" w:line="360" w:before="280" w:after="280"/>
        <w:ind w:firstLine="708"/>
        <w:jc w:val="both"/>
        <w:rPr>
          <w:rFonts w:ascii="Arial" w:hAnsi="Arial" w:cs="Arial"/>
        </w:rPr>
      </w:pPr>
      <w:r>
        <w:rPr>
          <w:rFonts w:cs="Arial" w:ascii="Arial" w:hAnsi="Arial"/>
        </w:rPr>
        <w:t>W obszarze dotyczącym sportu i turystyki, które w pytaniach ogólnych na początku ankiety dostały kilkunastoprocentowe wybory na pytanie „Jaki Pani/Pana zdaniem zakres usług społecznych powinien wypełniać obszar kultury, turystyki, sportu i rekreacji? - uzyskano odpowiedzi wskazujące na:</w:t>
      </w:r>
    </w:p>
    <w:p>
      <w:pPr>
        <w:pStyle w:val="NormalWeb"/>
        <w:numPr>
          <w:ilvl w:val="0"/>
          <w:numId w:val="17"/>
        </w:numPr>
        <w:spacing w:lineRule="auto" w:line="360" w:before="280" w:after="0"/>
        <w:jc w:val="both"/>
        <w:rPr>
          <w:rFonts w:ascii="Arial" w:hAnsi="Arial" w:cs="Arial"/>
        </w:rPr>
      </w:pPr>
      <w:r>
        <w:rPr>
          <w:rFonts w:cs="Arial" w:ascii="Arial" w:hAnsi="Arial"/>
        </w:rPr>
        <w:t>zajęcia rekreacyjno-usprawniające (np. siłownie na świeżym powietrzu, place zabaw, gry terenowe) – 61%,</w:t>
      </w:r>
    </w:p>
    <w:p>
      <w:pPr>
        <w:pStyle w:val="NormalWeb"/>
        <w:numPr>
          <w:ilvl w:val="0"/>
          <w:numId w:val="17"/>
        </w:numPr>
        <w:spacing w:lineRule="auto" w:line="360" w:before="0" w:after="0"/>
        <w:jc w:val="both"/>
        <w:rPr>
          <w:rFonts w:ascii="Arial" w:hAnsi="Arial" w:cs="Arial"/>
        </w:rPr>
      </w:pPr>
      <w:r>
        <w:rPr>
          <w:rFonts w:cs="Arial" w:ascii="Arial" w:hAnsi="Arial"/>
        </w:rPr>
        <w:t xml:space="preserve">cykliczne imprezy kulturalne o zróżnicowanej tematyce z udziałem </w:t>
        <w:br/>
        <w:t>i zaangażowaniem mieszkańców (kluby filmowe z dyskusją tematyczną mieszkańców, spektakle teatralne w wykonaniu mieszkańców, młodzieży, seniorów, rodzin) – 60%,</w:t>
      </w:r>
    </w:p>
    <w:p>
      <w:pPr>
        <w:pStyle w:val="NormalWeb"/>
        <w:numPr>
          <w:ilvl w:val="0"/>
          <w:numId w:val="17"/>
        </w:numPr>
        <w:spacing w:lineRule="auto" w:line="360" w:before="0" w:after="0"/>
        <w:jc w:val="both"/>
        <w:rPr>
          <w:rFonts w:ascii="Arial" w:hAnsi="Arial" w:cs="Arial"/>
        </w:rPr>
      </w:pPr>
      <w:r>
        <w:rPr>
          <w:rFonts w:cs="Arial" w:ascii="Arial" w:hAnsi="Arial"/>
        </w:rPr>
        <w:t>grupowe wyjazdy rekreacyjne mieszkańców (poza obszar miejsca zamieszkania) dla różnych grup – 57%,</w:t>
      </w:r>
    </w:p>
    <w:p>
      <w:pPr>
        <w:pStyle w:val="NormalWeb"/>
        <w:numPr>
          <w:ilvl w:val="0"/>
          <w:numId w:val="17"/>
        </w:numPr>
        <w:spacing w:lineRule="auto" w:line="360" w:before="0" w:after="0"/>
        <w:jc w:val="both"/>
        <w:rPr>
          <w:rFonts w:ascii="Arial" w:hAnsi="Arial" w:cs="Arial"/>
        </w:rPr>
      </w:pPr>
      <w:r>
        <w:rPr>
          <w:rFonts w:cs="Arial" w:ascii="Arial" w:hAnsi="Arial"/>
        </w:rPr>
        <w:t>koncerty i przedstawienia (np. rodzinne muzykowanie, koncerty lokalnych zespołów muzycznych i śpiewaczych, kapel ludowych itp.,) – 47%,</w:t>
      </w:r>
    </w:p>
    <w:p>
      <w:pPr>
        <w:pStyle w:val="NormalWeb"/>
        <w:numPr>
          <w:ilvl w:val="0"/>
          <w:numId w:val="17"/>
        </w:numPr>
        <w:spacing w:lineRule="auto" w:line="360" w:before="0" w:after="0"/>
        <w:jc w:val="both"/>
        <w:rPr>
          <w:rFonts w:ascii="Arial" w:hAnsi="Arial" w:cs="Arial"/>
        </w:rPr>
      </w:pPr>
      <w:r>
        <w:rPr>
          <w:rFonts w:cs="Arial" w:ascii="Arial" w:hAnsi="Arial"/>
        </w:rPr>
        <w:t>zróżnicowane zajęcia sportowe dla różnych grup mieszkańców (nowe i ciekawe dyscypliny sportowe) – 41%,</w:t>
      </w:r>
    </w:p>
    <w:p>
      <w:pPr>
        <w:pStyle w:val="NormalWeb"/>
        <w:numPr>
          <w:ilvl w:val="0"/>
          <w:numId w:val="17"/>
        </w:numPr>
        <w:spacing w:lineRule="auto" w:line="360" w:before="0" w:after="280"/>
        <w:jc w:val="both"/>
        <w:rPr>
          <w:rFonts w:ascii="Arial" w:hAnsi="Arial" w:cs="Arial"/>
        </w:rPr>
      </w:pPr>
      <w:r>
        <w:rPr>
          <w:rFonts w:cs="Arial" w:ascii="Arial" w:hAnsi="Arial"/>
        </w:rPr>
        <w:t>inne – jakie; wskazano spotkania z ciekawymi ludźmi, spotkania młodych, kameralne koncerty muzyki poważnej – 1%</w:t>
      </w:r>
    </w:p>
    <w:p>
      <w:pPr>
        <w:pStyle w:val="NormalWeb"/>
        <w:spacing w:lineRule="auto" w:line="360" w:before="280" w:after="280"/>
        <w:ind w:firstLine="708"/>
        <w:jc w:val="both"/>
        <w:rPr>
          <w:rFonts w:ascii="Arial" w:hAnsi="Arial" w:cs="Arial"/>
        </w:rPr>
      </w:pPr>
      <w:bookmarkStart w:id="33" w:name="_Hlk208164676"/>
      <w:r>
        <w:rPr>
          <w:rFonts w:cs="Arial" w:ascii="Arial" w:hAnsi="Arial"/>
        </w:rPr>
        <w:t xml:space="preserve">Na pytanie z obszaru wspierania rodziny „Jaki Pani/Pana zdaniem zakres usług społecznych powinien wypełniać obszar </w:t>
      </w:r>
      <w:bookmarkEnd w:id="33"/>
      <w:r>
        <w:rPr>
          <w:rFonts w:cs="Arial" w:ascii="Arial" w:hAnsi="Arial"/>
        </w:rPr>
        <w:t>wspierania rodziny? - uzyskano odpowiedzi wskazujące na:</w:t>
      </w:r>
    </w:p>
    <w:p>
      <w:pPr>
        <w:pStyle w:val="NormalWeb"/>
        <w:numPr>
          <w:ilvl w:val="0"/>
          <w:numId w:val="18"/>
        </w:numPr>
        <w:spacing w:lineRule="auto" w:line="360" w:before="280" w:after="0"/>
        <w:jc w:val="both"/>
        <w:rPr>
          <w:rFonts w:ascii="Arial" w:hAnsi="Arial" w:cs="Arial"/>
        </w:rPr>
      </w:pPr>
      <w:r>
        <w:rPr>
          <w:rFonts w:cs="Arial" w:ascii="Arial" w:hAnsi="Arial"/>
        </w:rPr>
        <w:t>poradnictwo specjalistyczne (psychologiczne, pedagogiczne, prawne i socjalne) – 71%,</w:t>
      </w:r>
    </w:p>
    <w:p>
      <w:pPr>
        <w:pStyle w:val="NormalWeb"/>
        <w:numPr>
          <w:ilvl w:val="0"/>
          <w:numId w:val="18"/>
        </w:numPr>
        <w:spacing w:lineRule="auto" w:line="360" w:before="0" w:after="0"/>
        <w:jc w:val="both"/>
        <w:rPr>
          <w:rFonts w:ascii="Arial" w:hAnsi="Arial" w:cs="Arial"/>
        </w:rPr>
      </w:pPr>
      <w:r>
        <w:rPr>
          <w:rFonts w:cs="Arial" w:ascii="Arial" w:hAnsi="Arial"/>
        </w:rPr>
        <w:t>grupy wsparcia i grupy samopomocowe dla rodzin z różnorodnymi problemami – 65%,</w:t>
      </w:r>
    </w:p>
    <w:p>
      <w:pPr>
        <w:pStyle w:val="NormalWeb"/>
        <w:numPr>
          <w:ilvl w:val="0"/>
          <w:numId w:val="18"/>
        </w:numPr>
        <w:spacing w:lineRule="auto" w:line="360" w:before="0" w:after="0"/>
        <w:jc w:val="both"/>
        <w:rPr>
          <w:rFonts w:ascii="Arial" w:hAnsi="Arial" w:cs="Arial"/>
        </w:rPr>
      </w:pPr>
      <w:r>
        <w:rPr>
          <w:rFonts w:cs="Arial" w:ascii="Arial" w:hAnsi="Arial"/>
        </w:rPr>
        <w:t>wspieranie rodzin w przygotowaniu do wychowania dzieci (szkoła rodzenia, szkoła dla rodziców, „klub Mam”, „klub Ojców”, usługa edukacyjno-wspierająca w zakresie nabywania i/lub</w:t>
      </w:r>
      <w:r>
        <w:rPr/>
        <w:t xml:space="preserve"> </w:t>
      </w:r>
      <w:r>
        <w:rPr>
          <w:rFonts w:cs="Arial" w:ascii="Arial" w:hAnsi="Arial"/>
        </w:rPr>
        <w:t>rozwijania umiejętności opiekuńczo-wychowawczych) – 58%,</w:t>
      </w:r>
    </w:p>
    <w:p>
      <w:pPr>
        <w:pStyle w:val="NormalWeb"/>
        <w:numPr>
          <w:ilvl w:val="0"/>
          <w:numId w:val="18"/>
        </w:numPr>
        <w:spacing w:lineRule="auto" w:line="360" w:before="0" w:after="0"/>
        <w:jc w:val="both"/>
        <w:rPr>
          <w:rFonts w:ascii="Arial" w:hAnsi="Arial" w:cs="Arial"/>
        </w:rPr>
      </w:pPr>
      <w:r>
        <w:rPr>
          <w:rFonts w:cs="Arial" w:ascii="Arial" w:hAnsi="Arial"/>
        </w:rPr>
        <w:t>placówkę wsparcia dziennego dla dzieci (w celu wsparcia rodziny dziecko może zostać objęte opieką i wychowaniem w placówce wsparcia dziennego) – 30%,</w:t>
      </w:r>
    </w:p>
    <w:p>
      <w:pPr>
        <w:pStyle w:val="NormalWeb"/>
        <w:numPr>
          <w:ilvl w:val="0"/>
          <w:numId w:val="18"/>
        </w:numPr>
        <w:spacing w:lineRule="auto" w:line="360" w:before="0" w:after="0"/>
        <w:jc w:val="both"/>
        <w:rPr>
          <w:rFonts w:ascii="Arial" w:hAnsi="Arial" w:cs="Arial"/>
        </w:rPr>
      </w:pPr>
      <w:r>
        <w:rPr>
          <w:rFonts w:cs="Arial" w:ascii="Arial" w:hAnsi="Arial"/>
        </w:rPr>
        <w:t>asystenturę dla rodzin z problemami wychowawczymi – 26%,</w:t>
      </w:r>
    </w:p>
    <w:p>
      <w:pPr>
        <w:pStyle w:val="NormalWeb"/>
        <w:numPr>
          <w:ilvl w:val="0"/>
          <w:numId w:val="18"/>
        </w:numPr>
        <w:spacing w:lineRule="auto" w:line="360" w:before="0" w:after="280"/>
        <w:jc w:val="both"/>
        <w:rPr>
          <w:rFonts w:ascii="Arial" w:hAnsi="Arial" w:cs="Arial"/>
        </w:rPr>
      </w:pPr>
      <w:r>
        <w:rPr>
          <w:rFonts w:cs="Arial" w:ascii="Arial" w:hAnsi="Arial"/>
        </w:rPr>
        <w:t>usługę rodziny wspierającej (rodziny, która może podejmować działania na rzecz wzmocnienia funkcjonowania społecznego dziecka we współpracy z jego rodzicem biologicznym) – 6%.</w:t>
      </w:r>
    </w:p>
    <w:p>
      <w:pPr>
        <w:pStyle w:val="NormalWeb"/>
        <w:spacing w:lineRule="auto" w:line="360" w:before="280" w:after="280"/>
        <w:jc w:val="both"/>
        <w:rPr>
          <w:rFonts w:ascii="Arial" w:hAnsi="Arial" w:cs="Arial"/>
        </w:rPr>
      </w:pPr>
      <w:r>
        <w:rPr>
          <w:rFonts w:cs="Arial" w:ascii="Arial" w:hAnsi="Arial"/>
        </w:rPr>
        <w:t>W pytaniu nie dokonano wskazań w zakresie innych usług.</w:t>
      </w:r>
    </w:p>
    <w:p>
      <w:pPr>
        <w:pStyle w:val="NormalWeb"/>
        <w:spacing w:lineRule="auto" w:line="360" w:before="280" w:after="280"/>
        <w:ind w:firstLine="708"/>
        <w:jc w:val="both"/>
        <w:rPr>
          <w:rFonts w:ascii="Arial" w:hAnsi="Arial" w:cs="Arial"/>
        </w:rPr>
      </w:pPr>
      <w:r>
        <w:rPr>
          <w:rFonts w:cs="Arial" w:ascii="Arial" w:hAnsi="Arial"/>
        </w:rPr>
        <w:t>Na pytanie z obszaru wspierania osób niepełnosprawnych „Jaki Pani/Pana zdaniem zakres usług społecznych powinien wypełniać obszar wspierania osób niepełnosprawnych i ich rodzin? – który zajął pierwszą pozycję pod względem obszarów problemowych wymagających usług społecznych - uzyskano odpowiedzi wskazujące na:</w:t>
      </w:r>
    </w:p>
    <w:p>
      <w:pPr>
        <w:pStyle w:val="NormalWeb"/>
        <w:numPr>
          <w:ilvl w:val="0"/>
          <w:numId w:val="19"/>
        </w:numPr>
        <w:spacing w:lineRule="auto" w:line="360" w:before="280" w:after="0"/>
        <w:jc w:val="both"/>
        <w:rPr>
          <w:rFonts w:ascii="Arial" w:hAnsi="Arial" w:cs="Arial"/>
        </w:rPr>
      </w:pPr>
      <w:r>
        <w:rPr>
          <w:rFonts w:cs="Arial" w:ascii="Arial" w:hAnsi="Arial"/>
        </w:rPr>
        <w:t xml:space="preserve">wspieranie procesu adaptacji osoby do niepełnosprawności nabytej (w wyniku choroby, urazów, wypadku itp.) – 55%, </w:t>
      </w:r>
    </w:p>
    <w:p>
      <w:pPr>
        <w:pStyle w:val="NormalWeb"/>
        <w:numPr>
          <w:ilvl w:val="0"/>
          <w:numId w:val="19"/>
        </w:numPr>
        <w:spacing w:lineRule="auto" w:line="360" w:before="0" w:after="0"/>
        <w:jc w:val="both"/>
        <w:rPr>
          <w:rFonts w:ascii="Arial" w:hAnsi="Arial" w:cs="Arial"/>
        </w:rPr>
      </w:pPr>
      <w:r>
        <w:rPr>
          <w:rFonts w:cs="Arial" w:ascii="Arial" w:hAnsi="Arial"/>
        </w:rPr>
        <w:t xml:space="preserve">rehabilitację społeczną (trening umiejętności społecznych, rozwój </w:t>
        <w:br/>
        <w:t>i przystosowanie do życia w warunkach niepełnosprawności) – 53%,</w:t>
      </w:r>
    </w:p>
    <w:p>
      <w:pPr>
        <w:pStyle w:val="NormalWeb"/>
        <w:numPr>
          <w:ilvl w:val="0"/>
          <w:numId w:val="19"/>
        </w:numPr>
        <w:spacing w:lineRule="auto" w:line="360" w:before="0" w:after="0"/>
        <w:jc w:val="both"/>
        <w:rPr>
          <w:rFonts w:ascii="Arial" w:hAnsi="Arial" w:cs="Arial"/>
        </w:rPr>
      </w:pPr>
      <w:r>
        <w:rPr>
          <w:rFonts w:cs="Arial" w:ascii="Arial" w:hAnsi="Arial"/>
        </w:rPr>
        <w:t>usługi w zakresie likwidacji barier związanych z niepełnosprawnością (barier mentalnych, komunikacyjnych itp.) – 49%,</w:t>
      </w:r>
    </w:p>
    <w:p>
      <w:pPr>
        <w:pStyle w:val="NormalWeb"/>
        <w:numPr>
          <w:ilvl w:val="0"/>
          <w:numId w:val="19"/>
        </w:numPr>
        <w:spacing w:lineRule="auto" w:line="360" w:before="0" w:after="0"/>
        <w:jc w:val="both"/>
        <w:rPr>
          <w:rFonts w:ascii="Arial" w:hAnsi="Arial" w:cs="Arial"/>
        </w:rPr>
      </w:pPr>
      <w:r>
        <w:rPr>
          <w:rFonts w:cs="Arial" w:ascii="Arial" w:hAnsi="Arial"/>
        </w:rPr>
        <w:t>pomoc wytchnieniową dla opiekunów osób niepełnosprawnych – 47%,</w:t>
      </w:r>
    </w:p>
    <w:p>
      <w:pPr>
        <w:pStyle w:val="NormalWeb"/>
        <w:numPr>
          <w:ilvl w:val="0"/>
          <w:numId w:val="19"/>
        </w:numPr>
        <w:spacing w:lineRule="auto" w:line="360" w:before="0" w:after="0"/>
        <w:jc w:val="both"/>
        <w:rPr>
          <w:rFonts w:ascii="Arial" w:hAnsi="Arial" w:cs="Arial"/>
        </w:rPr>
      </w:pPr>
      <w:r>
        <w:rPr>
          <w:rFonts w:cs="Arial" w:ascii="Arial" w:hAnsi="Arial"/>
        </w:rPr>
        <w:t>poradnictwo specjalistyczne dla osób niepełnosprawnych i ich rodzin – 46%,</w:t>
      </w:r>
    </w:p>
    <w:p>
      <w:pPr>
        <w:pStyle w:val="NormalWeb"/>
        <w:numPr>
          <w:ilvl w:val="0"/>
          <w:numId w:val="19"/>
        </w:numPr>
        <w:spacing w:lineRule="auto" w:line="360" w:before="0" w:after="280"/>
        <w:jc w:val="both"/>
        <w:rPr>
          <w:rFonts w:ascii="Arial" w:hAnsi="Arial" w:cs="Arial"/>
        </w:rPr>
      </w:pPr>
      <w:r>
        <w:rPr>
          <w:rFonts w:cs="Arial" w:ascii="Arial" w:hAnsi="Arial"/>
        </w:rPr>
        <w:t xml:space="preserve">asystenturę osób niepełnosprawnych – 43%. Nie udzielono odpowiedzi </w:t>
        <w:br/>
        <w:t>w kategorii „inne usługi”.</w:t>
      </w:r>
    </w:p>
    <w:p>
      <w:pPr>
        <w:pStyle w:val="NormalWeb"/>
        <w:spacing w:lineRule="auto" w:line="360" w:before="280" w:after="280"/>
        <w:ind w:firstLine="708"/>
        <w:jc w:val="both"/>
        <w:rPr>
          <w:rFonts w:ascii="Arial" w:hAnsi="Arial" w:cs="Arial"/>
        </w:rPr>
      </w:pPr>
      <w:r>
        <w:rPr>
          <w:rFonts w:cs="Arial" w:ascii="Arial" w:hAnsi="Arial"/>
        </w:rPr>
        <w:t>Na pytanie z obszaru wspierania osób w wieku senioralnym „</w:t>
      </w:r>
      <w:bookmarkStart w:id="34" w:name="_Hlk208166952"/>
      <w:r>
        <w:rPr>
          <w:rFonts w:cs="Arial" w:ascii="Arial" w:hAnsi="Arial"/>
        </w:rPr>
        <w:t>Jaki Pani/Pana zdaniem zakres usług społecznych powinien wypełniać obszar wspierania osób w wieku senioralnym i ich rodzin? -  uzyskano odpowiedzi wskazujące na:</w:t>
      </w:r>
    </w:p>
    <w:p>
      <w:pPr>
        <w:pStyle w:val="NormalWeb"/>
        <w:numPr>
          <w:ilvl w:val="0"/>
          <w:numId w:val="20"/>
        </w:numPr>
        <w:spacing w:lineRule="auto" w:line="360" w:before="280" w:after="0"/>
        <w:jc w:val="both"/>
        <w:rPr>
          <w:rFonts w:ascii="Arial" w:hAnsi="Arial" w:cs="Arial"/>
        </w:rPr>
      </w:pPr>
      <w:r>
        <w:rPr>
          <w:rFonts w:cs="Arial" w:ascii="Arial" w:hAnsi="Arial"/>
        </w:rPr>
        <w:t xml:space="preserve">usługi w zakresie opieki nad chorym w domu (pielęgnację, higienę, podawanie leków, posiłków, pomoc w wykonywaniu prostych czynności związanych </w:t>
        <w:br/>
        <w:t>z codziennym funkcjonowaniem) – 79%,</w:t>
      </w:r>
    </w:p>
    <w:p>
      <w:pPr>
        <w:pStyle w:val="NormalWeb"/>
        <w:numPr>
          <w:ilvl w:val="0"/>
          <w:numId w:val="20"/>
        </w:numPr>
        <w:spacing w:lineRule="auto" w:line="360" w:before="0" w:after="0"/>
        <w:jc w:val="both"/>
        <w:rPr>
          <w:rFonts w:ascii="Arial" w:hAnsi="Arial" w:cs="Arial"/>
        </w:rPr>
      </w:pPr>
      <w:r>
        <w:rPr>
          <w:rFonts w:cs="Arial" w:ascii="Arial" w:hAnsi="Arial"/>
        </w:rPr>
        <w:t>transport seniorów do miejsc załatwienia spraw urzędowych, usług medycznych itp. – 47%,</w:t>
      </w:r>
    </w:p>
    <w:p>
      <w:pPr>
        <w:pStyle w:val="NormalWeb"/>
        <w:numPr>
          <w:ilvl w:val="0"/>
          <w:numId w:val="20"/>
        </w:numPr>
        <w:spacing w:lineRule="auto" w:line="360" w:before="0" w:after="0"/>
        <w:jc w:val="both"/>
        <w:rPr>
          <w:rFonts w:ascii="Arial" w:hAnsi="Arial" w:cs="Arial"/>
        </w:rPr>
      </w:pPr>
      <w:r>
        <w:rPr>
          <w:rFonts w:cs="Arial" w:ascii="Arial" w:hAnsi="Arial"/>
        </w:rPr>
        <w:t>usługi gospodarcze - sprzątanie, pranie, robienie zakupów – 42%,</w:t>
      </w:r>
    </w:p>
    <w:p>
      <w:pPr>
        <w:pStyle w:val="NormalWeb"/>
        <w:numPr>
          <w:ilvl w:val="0"/>
          <w:numId w:val="20"/>
        </w:numPr>
        <w:spacing w:lineRule="auto" w:line="360" w:before="0" w:after="0"/>
        <w:jc w:val="both"/>
        <w:rPr>
          <w:rFonts w:ascii="Arial" w:hAnsi="Arial" w:cs="Arial"/>
        </w:rPr>
      </w:pPr>
      <w:r>
        <w:rPr>
          <w:rFonts w:cs="Arial" w:ascii="Arial" w:hAnsi="Arial"/>
        </w:rPr>
        <w:t>usługi rozumiane jako lokalne domy pomocy społecznej (o charakterze dziennym lub całodobowym) – 36%,</w:t>
      </w:r>
    </w:p>
    <w:p>
      <w:pPr>
        <w:pStyle w:val="NormalWeb"/>
        <w:numPr>
          <w:ilvl w:val="0"/>
          <w:numId w:val="20"/>
        </w:numPr>
        <w:spacing w:lineRule="auto" w:line="360" w:before="0" w:after="0"/>
        <w:jc w:val="both"/>
        <w:rPr>
          <w:rFonts w:ascii="Arial" w:hAnsi="Arial" w:cs="Arial"/>
        </w:rPr>
      </w:pPr>
      <w:r>
        <w:rPr>
          <w:rFonts w:cs="Arial" w:ascii="Arial" w:hAnsi="Arial"/>
        </w:rPr>
        <w:t>wspomaganie sprawności ruchowej i intelektualnej – 34%,</w:t>
      </w:r>
    </w:p>
    <w:p>
      <w:pPr>
        <w:pStyle w:val="NormalWeb"/>
        <w:numPr>
          <w:ilvl w:val="0"/>
          <w:numId w:val="20"/>
        </w:numPr>
        <w:spacing w:lineRule="auto" w:line="360" w:before="0" w:after="0"/>
        <w:jc w:val="both"/>
        <w:rPr>
          <w:rFonts w:ascii="Arial" w:hAnsi="Arial" w:cs="Arial"/>
        </w:rPr>
      </w:pPr>
      <w:r>
        <w:rPr>
          <w:rFonts w:cs="Arial" w:ascii="Arial" w:hAnsi="Arial"/>
        </w:rPr>
        <w:t>usługi remontowe (drobne naprawy w obrębie lokalu mieszkalnego) – 20%,</w:t>
      </w:r>
    </w:p>
    <w:p>
      <w:pPr>
        <w:pStyle w:val="NormalWeb"/>
        <w:numPr>
          <w:ilvl w:val="0"/>
          <w:numId w:val="20"/>
        </w:numPr>
        <w:spacing w:lineRule="auto" w:line="360" w:before="0" w:after="0"/>
        <w:jc w:val="both"/>
        <w:rPr>
          <w:rFonts w:ascii="Arial" w:hAnsi="Arial" w:cs="Arial"/>
        </w:rPr>
      </w:pPr>
      <w:r>
        <w:rPr>
          <w:rFonts w:cs="Arial" w:ascii="Arial" w:hAnsi="Arial"/>
        </w:rPr>
        <w:t>edukacja seniorów (np. Uniwersytet Trzeciego Wieku) –15%,</w:t>
      </w:r>
    </w:p>
    <w:p>
      <w:pPr>
        <w:pStyle w:val="NormalWeb"/>
        <w:numPr>
          <w:ilvl w:val="0"/>
          <w:numId w:val="20"/>
        </w:numPr>
        <w:spacing w:lineRule="auto" w:line="360" w:before="0" w:after="280"/>
        <w:jc w:val="both"/>
        <w:rPr>
          <w:rFonts w:ascii="Arial" w:hAnsi="Arial" w:cs="Arial"/>
        </w:rPr>
      </w:pPr>
      <w:r>
        <w:rPr>
          <w:rFonts w:cs="Arial" w:ascii="Arial" w:hAnsi="Arial"/>
        </w:rPr>
        <w:t xml:space="preserve">mieszkalnictwo wspomagane – 7%. </w:t>
      </w:r>
    </w:p>
    <w:p>
      <w:pPr>
        <w:pStyle w:val="NormalWeb"/>
        <w:spacing w:lineRule="auto" w:line="360" w:before="280" w:after="280"/>
        <w:ind w:firstLine="708"/>
        <w:jc w:val="both"/>
        <w:rPr>
          <w:rFonts w:ascii="Arial" w:hAnsi="Arial" w:cs="Arial"/>
        </w:rPr>
      </w:pPr>
      <w:r>
        <w:rPr>
          <w:rFonts w:cs="Arial" w:ascii="Arial" w:hAnsi="Arial"/>
        </w:rPr>
        <w:t>Nie udzielono żadnej odpowiedzi w zakresie innych dodatkowych usług w tym obszarze.</w:t>
      </w:r>
      <w:bookmarkEnd w:id="34"/>
    </w:p>
    <w:p>
      <w:pPr>
        <w:pStyle w:val="NormalWeb"/>
        <w:spacing w:lineRule="auto" w:line="360" w:before="280" w:after="280"/>
        <w:ind w:firstLine="708"/>
        <w:jc w:val="both"/>
        <w:rPr>
          <w:rFonts w:ascii="Arial" w:hAnsi="Arial" w:cs="Arial"/>
        </w:rPr>
      </w:pPr>
      <w:r>
        <w:rPr>
          <w:rFonts w:cs="Arial" w:ascii="Arial" w:hAnsi="Arial"/>
        </w:rPr>
        <w:t>Na pytanie z obszaru wspierania osób dotkniętych przemocą domową „Jaki Pani/Pana zdaniem zakres usług społecznych powinien wypełniać obszar wspierania osób dotkniętych przemocą domową? -  uzyskano odpowiedzi wskazujące na:</w:t>
      </w:r>
    </w:p>
    <w:p>
      <w:pPr>
        <w:pStyle w:val="NormalWeb"/>
        <w:numPr>
          <w:ilvl w:val="0"/>
          <w:numId w:val="21"/>
        </w:numPr>
        <w:spacing w:lineRule="auto" w:line="360" w:before="280" w:after="0"/>
        <w:jc w:val="both"/>
        <w:rPr>
          <w:rFonts w:ascii="Arial" w:hAnsi="Arial" w:cs="Arial"/>
        </w:rPr>
      </w:pPr>
      <w:r>
        <w:rPr>
          <w:rFonts w:cs="Arial" w:ascii="Arial" w:hAnsi="Arial"/>
        </w:rPr>
        <w:t>poradnictwo specjalistyczne dla osób doznających przemocy – 83%,</w:t>
      </w:r>
    </w:p>
    <w:p>
      <w:pPr>
        <w:pStyle w:val="NormalWeb"/>
        <w:numPr>
          <w:ilvl w:val="0"/>
          <w:numId w:val="21"/>
        </w:numPr>
        <w:spacing w:lineRule="auto" w:line="360" w:before="0" w:after="0"/>
        <w:jc w:val="both"/>
        <w:rPr>
          <w:rFonts w:ascii="Arial" w:hAnsi="Arial" w:cs="Arial"/>
        </w:rPr>
      </w:pPr>
      <w:r>
        <w:rPr>
          <w:rFonts w:cs="Arial" w:ascii="Arial" w:hAnsi="Arial"/>
        </w:rPr>
        <w:t>usługę terapii psychologicznej w </w:t>
      </w:r>
      <w:bookmarkStart w:id="35" w:name="_Hlk208167789"/>
      <w:r>
        <w:rPr>
          <w:rFonts w:cs="Arial" w:ascii="Arial" w:hAnsi="Arial"/>
        </w:rPr>
        <w:t>kryzysach wynikających z doznawanej przemocy</w:t>
      </w:r>
      <w:bookmarkEnd w:id="35"/>
      <w:r>
        <w:rPr>
          <w:rFonts w:cs="Arial" w:ascii="Arial" w:hAnsi="Arial"/>
        </w:rPr>
        <w:t xml:space="preserve"> – 59%,</w:t>
      </w:r>
    </w:p>
    <w:p>
      <w:pPr>
        <w:pStyle w:val="NormalWeb"/>
        <w:numPr>
          <w:ilvl w:val="0"/>
          <w:numId w:val="21"/>
        </w:numPr>
        <w:spacing w:lineRule="auto" w:line="360" w:before="0" w:after="0"/>
        <w:jc w:val="both"/>
        <w:rPr>
          <w:rFonts w:ascii="Arial" w:hAnsi="Arial" w:cs="Arial"/>
        </w:rPr>
      </w:pPr>
      <w:r>
        <w:rPr>
          <w:rFonts w:cs="Arial" w:ascii="Arial" w:hAnsi="Arial"/>
        </w:rPr>
        <w:t>grupy wsparcia i grupy samopomocowe – 45%,</w:t>
      </w:r>
    </w:p>
    <w:p>
      <w:pPr>
        <w:pStyle w:val="NormalWeb"/>
        <w:numPr>
          <w:ilvl w:val="0"/>
          <w:numId w:val="21"/>
        </w:numPr>
        <w:spacing w:lineRule="auto" w:line="360" w:before="0" w:after="0"/>
        <w:jc w:val="both"/>
        <w:rPr>
          <w:rFonts w:ascii="Arial" w:hAnsi="Arial" w:cs="Arial"/>
        </w:rPr>
      </w:pPr>
      <w:r>
        <w:rPr>
          <w:rFonts w:cs="Arial" w:ascii="Arial" w:hAnsi="Arial"/>
        </w:rPr>
        <w:t>usługę interwencji kryzysowej w sytuacjach wynikających z doznawanej przemocy – 37%,</w:t>
      </w:r>
    </w:p>
    <w:p>
      <w:pPr>
        <w:pStyle w:val="NormalWeb"/>
        <w:numPr>
          <w:ilvl w:val="0"/>
          <w:numId w:val="21"/>
        </w:numPr>
        <w:spacing w:lineRule="auto" w:line="360" w:before="0" w:after="280"/>
        <w:jc w:val="both"/>
        <w:rPr>
          <w:rFonts w:ascii="Arial" w:hAnsi="Arial" w:cs="Arial"/>
        </w:rPr>
      </w:pPr>
      <w:r>
        <w:rPr>
          <w:rFonts w:cs="Arial" w:ascii="Arial" w:hAnsi="Arial"/>
        </w:rPr>
        <w:t>usługę hostelu na czas pozostawania w kryzysie po przemocy – 31%. Wśród odpowiedzi na powyższe pytanie nie pojawiły się odpowiedzi wskazujące na inne niezdefiniowane usługi.</w:t>
      </w:r>
    </w:p>
    <w:p>
      <w:pPr>
        <w:pStyle w:val="NormalWeb"/>
        <w:spacing w:lineRule="auto" w:line="360" w:before="280" w:after="280"/>
        <w:ind w:firstLine="708"/>
        <w:jc w:val="both"/>
        <w:rPr>
          <w:rFonts w:ascii="Arial" w:hAnsi="Arial" w:cs="Arial"/>
        </w:rPr>
      </w:pPr>
      <w:r>
        <w:rPr>
          <w:rFonts w:cs="Arial" w:ascii="Arial" w:hAnsi="Arial"/>
        </w:rPr>
        <w:t xml:space="preserve">Zaprezentowane wyżej wyniki zostały dodatkowo wzmocnione informacjami uzyskanymi od specjalistów dostarczających usługi społeczne i lokalnych ekspertów odpowiedzialnych z proces planowania i organizowania takich usług, zebranymi podczas zogniskowanych wywiadów grupowych (FGI). Uwzględniono też wyniki uzyskane w trakcie dwóch warsztatów „Servise Desing” oraz wyniki uzyskane w trakcie indywidulanych wywiadów pogłębionych ze specjalistami i osobami znającymi tematykę usług społecznych. </w:t>
      </w:r>
    </w:p>
    <w:p>
      <w:pPr>
        <w:pStyle w:val="NormalWeb"/>
        <w:spacing w:lineRule="auto" w:line="360" w:before="280" w:after="280"/>
        <w:ind w:firstLine="708"/>
        <w:jc w:val="both"/>
        <w:rPr>
          <w:rFonts w:ascii="Arial" w:hAnsi="Arial" w:cs="Arial"/>
        </w:rPr>
      </w:pPr>
      <w:r>
        <w:rPr>
          <w:rFonts w:cs="Arial" w:ascii="Arial" w:hAnsi="Arial"/>
        </w:rPr>
        <w:t xml:space="preserve">Indywidulane wywiady pogłębione okazały się niezwykle ważną częścią badań w uwagi na konstruktywne wnioski w zakresie definiowania obszarów problemowych, w których należy rozważać przygotowanie oferty usług społecznych oraz konieczność zweryfikowania i skonkretyzowania katalogu usług adekwatnego do potrzeb występujących w poszczególnych obszarach problemowych. Szczegółowy opis ustaleń dokonanych w trakcie indywidulanych wywiadów pogłębionych zostanie zamieszczony w dalszej części rozdziału i stanowić będzie pewne podsumowanie procesu badawczego. </w:t>
      </w:r>
    </w:p>
    <w:p>
      <w:pPr>
        <w:pStyle w:val="NormalWeb"/>
        <w:spacing w:lineRule="auto" w:line="360" w:before="280" w:after="280"/>
        <w:ind w:firstLine="708"/>
        <w:jc w:val="both"/>
        <w:rPr>
          <w:rFonts w:ascii="Arial" w:hAnsi="Arial" w:cs="Arial"/>
        </w:rPr>
      </w:pPr>
      <w:r>
        <w:rPr>
          <w:rFonts w:cs="Arial" w:ascii="Arial" w:hAnsi="Arial"/>
        </w:rPr>
        <w:t>Opinie uzyskane w zogniskowanych wywiadach grupowych oraz warsztatach „Servise Desing” zabrano w bloki tematyczne przypisane obszarom problemowym, tożsamym do wskazanych w ankiecie dla mieszkańców. Takie podejście pozwoliło usystematyzować zebrane materiały, ale też poszerzyć zarówno katalog usług jak i wprowadzić nowe, nie wskazywane dotychczas obszary problemowe wymagające organizacji usług.</w:t>
      </w:r>
    </w:p>
    <w:p>
      <w:pPr>
        <w:pStyle w:val="NormalWeb"/>
        <w:spacing w:lineRule="auto" w:line="360" w:before="280" w:after="280"/>
        <w:ind w:firstLine="708"/>
        <w:jc w:val="both"/>
        <w:rPr>
          <w:rFonts w:ascii="Arial" w:hAnsi="Arial" w:cs="Arial"/>
        </w:rPr>
      </w:pPr>
      <w:r>
        <w:rPr>
          <w:rFonts w:cs="Arial" w:ascii="Arial" w:hAnsi="Arial"/>
        </w:rPr>
        <w:t>W opiniach z wywiadów grupowych (FGI) pojawiły się między innymi uzupełnienia do katalogu usług w definiowanych wcześniej obszarach problemowych i tak:</w:t>
      </w:r>
    </w:p>
    <w:p>
      <w:pPr>
        <w:pStyle w:val="NormalWeb"/>
        <w:numPr>
          <w:ilvl w:val="0"/>
          <w:numId w:val="23"/>
        </w:numPr>
        <w:spacing w:lineRule="auto" w:line="360" w:before="280" w:after="280"/>
        <w:jc w:val="both"/>
        <w:rPr>
          <w:rFonts w:ascii="Arial" w:hAnsi="Arial" w:cs="Arial"/>
        </w:rPr>
      </w:pPr>
      <w:r>
        <w:rPr>
          <w:rFonts w:cs="Arial" w:ascii="Arial" w:hAnsi="Arial"/>
        </w:rPr>
        <w:t>Obszar wspierania osób niepełnosprawnych uzupełniono o usługi:</w:t>
      </w:r>
    </w:p>
    <w:p>
      <w:pPr>
        <w:pStyle w:val="NormalWeb"/>
        <w:numPr>
          <w:ilvl w:val="1"/>
          <w:numId w:val="22"/>
        </w:numPr>
        <w:spacing w:lineRule="auto" w:line="360" w:before="280" w:after="0"/>
        <w:ind w:hanging="284" w:left="993"/>
        <w:jc w:val="both"/>
        <w:rPr>
          <w:rFonts w:ascii="Arial" w:hAnsi="Arial" w:cs="Arial"/>
        </w:rPr>
      </w:pPr>
      <w:r>
        <w:rPr>
          <w:rFonts w:cs="Arial" w:ascii="Arial" w:hAnsi="Arial"/>
        </w:rPr>
        <w:t>wypożyczania sprzętu wspomagającego i pielęgnacyjnego,</w:t>
      </w:r>
    </w:p>
    <w:p>
      <w:pPr>
        <w:pStyle w:val="NormalWeb"/>
        <w:numPr>
          <w:ilvl w:val="1"/>
          <w:numId w:val="22"/>
        </w:numPr>
        <w:spacing w:lineRule="auto" w:line="360" w:before="0" w:after="0"/>
        <w:ind w:hanging="284" w:left="993"/>
        <w:jc w:val="both"/>
        <w:rPr>
          <w:rFonts w:ascii="Arial" w:hAnsi="Arial" w:cs="Arial"/>
        </w:rPr>
      </w:pPr>
      <w:r>
        <w:rPr>
          <w:rFonts w:cs="Arial" w:ascii="Arial" w:hAnsi="Arial"/>
        </w:rPr>
        <w:t>usługę Asystenta osoby niepełnosprawnej,</w:t>
      </w:r>
    </w:p>
    <w:p>
      <w:pPr>
        <w:pStyle w:val="NormalWeb"/>
        <w:numPr>
          <w:ilvl w:val="1"/>
          <w:numId w:val="22"/>
        </w:numPr>
        <w:spacing w:lineRule="auto" w:line="360" w:before="0" w:after="0"/>
        <w:ind w:hanging="284" w:left="993"/>
        <w:jc w:val="both"/>
        <w:rPr>
          <w:rFonts w:ascii="Arial" w:hAnsi="Arial" w:cs="Arial"/>
        </w:rPr>
      </w:pPr>
      <w:r>
        <w:rPr>
          <w:rFonts w:cs="Arial" w:ascii="Arial" w:hAnsi="Arial"/>
        </w:rPr>
        <w:t>usługę opiekuńczą,</w:t>
      </w:r>
    </w:p>
    <w:p>
      <w:pPr>
        <w:pStyle w:val="NormalWeb"/>
        <w:numPr>
          <w:ilvl w:val="1"/>
          <w:numId w:val="22"/>
        </w:numPr>
        <w:spacing w:lineRule="auto" w:line="360" w:before="0" w:after="0"/>
        <w:ind w:hanging="284" w:left="993"/>
        <w:jc w:val="both"/>
        <w:rPr>
          <w:rFonts w:ascii="Arial" w:hAnsi="Arial" w:cs="Arial"/>
        </w:rPr>
      </w:pPr>
      <w:r>
        <w:rPr>
          <w:rFonts w:cs="Arial" w:ascii="Arial" w:hAnsi="Arial"/>
        </w:rPr>
        <w:t>usługę sprzątania mieszkania/domu,</w:t>
      </w:r>
    </w:p>
    <w:p>
      <w:pPr>
        <w:pStyle w:val="NormalWeb"/>
        <w:numPr>
          <w:ilvl w:val="1"/>
          <w:numId w:val="22"/>
        </w:numPr>
        <w:spacing w:lineRule="auto" w:line="360" w:before="0" w:after="0"/>
        <w:ind w:hanging="284" w:left="993"/>
        <w:jc w:val="both"/>
        <w:rPr>
          <w:rFonts w:ascii="Arial" w:hAnsi="Arial" w:cs="Arial"/>
        </w:rPr>
      </w:pPr>
      <w:r>
        <w:rPr>
          <w:rFonts w:cs="Arial" w:ascii="Arial" w:hAnsi="Arial"/>
        </w:rPr>
        <w:t>usługę mieszkania wspomaganego/treningowego,</w:t>
      </w:r>
    </w:p>
    <w:p>
      <w:pPr>
        <w:pStyle w:val="NormalWeb"/>
        <w:numPr>
          <w:ilvl w:val="1"/>
          <w:numId w:val="22"/>
        </w:numPr>
        <w:spacing w:lineRule="auto" w:line="360" w:before="0" w:after="280"/>
        <w:ind w:hanging="284" w:left="993"/>
        <w:jc w:val="both"/>
        <w:rPr>
          <w:rFonts w:ascii="Arial" w:hAnsi="Arial" w:cs="Arial"/>
        </w:rPr>
      </w:pPr>
      <w:r>
        <w:rPr>
          <w:rFonts w:cs="Arial" w:ascii="Arial" w:hAnsi="Arial"/>
        </w:rPr>
        <w:t>usługi mobilności transportowej.</w:t>
      </w:r>
    </w:p>
    <w:p>
      <w:pPr>
        <w:pStyle w:val="NormalWeb"/>
        <w:numPr>
          <w:ilvl w:val="0"/>
          <w:numId w:val="23"/>
        </w:numPr>
        <w:spacing w:lineRule="auto" w:line="360" w:before="280" w:after="280"/>
        <w:jc w:val="both"/>
        <w:rPr>
          <w:rFonts w:ascii="Arial" w:hAnsi="Arial" w:cs="Arial"/>
        </w:rPr>
      </w:pPr>
      <w:r>
        <w:rPr>
          <w:rFonts w:cs="Arial" w:ascii="Arial" w:hAnsi="Arial"/>
        </w:rPr>
        <w:t>Obszar wspierania rodziny uzupełniono o usługi:</w:t>
      </w:r>
    </w:p>
    <w:p>
      <w:pPr>
        <w:pStyle w:val="NormalWeb"/>
        <w:numPr>
          <w:ilvl w:val="0"/>
          <w:numId w:val="24"/>
        </w:numPr>
        <w:spacing w:lineRule="auto" w:line="360" w:before="280" w:after="0"/>
        <w:jc w:val="both"/>
        <w:rPr>
          <w:rFonts w:ascii="Arial" w:hAnsi="Arial" w:cs="Arial"/>
        </w:rPr>
      </w:pPr>
      <w:r>
        <w:rPr>
          <w:rFonts w:cs="Arial" w:ascii="Arial" w:hAnsi="Arial"/>
        </w:rPr>
        <w:t>poradnictwa psychologicznego dla dorosłych,</w:t>
      </w:r>
    </w:p>
    <w:p>
      <w:pPr>
        <w:pStyle w:val="NormalWeb"/>
        <w:numPr>
          <w:ilvl w:val="0"/>
          <w:numId w:val="24"/>
        </w:numPr>
        <w:spacing w:lineRule="auto" w:line="360" w:before="0" w:after="0"/>
        <w:jc w:val="both"/>
        <w:rPr>
          <w:rFonts w:ascii="Arial" w:hAnsi="Arial" w:cs="Arial"/>
        </w:rPr>
      </w:pPr>
      <w:r>
        <w:rPr>
          <w:rFonts w:cs="Arial" w:ascii="Arial" w:hAnsi="Arial"/>
        </w:rPr>
        <w:t>poradnictwa psychologicznego dla dzieci,</w:t>
      </w:r>
    </w:p>
    <w:p>
      <w:pPr>
        <w:pStyle w:val="NormalWeb"/>
        <w:numPr>
          <w:ilvl w:val="0"/>
          <w:numId w:val="24"/>
        </w:numPr>
        <w:spacing w:lineRule="auto" w:line="360" w:before="0" w:after="0"/>
        <w:jc w:val="both"/>
        <w:rPr>
          <w:rFonts w:ascii="Arial" w:hAnsi="Arial" w:cs="Arial"/>
        </w:rPr>
      </w:pPr>
      <w:r>
        <w:rPr>
          <w:rFonts w:cs="Arial" w:ascii="Arial" w:hAnsi="Arial"/>
        </w:rPr>
        <w:t>usługi terapii,</w:t>
      </w:r>
    </w:p>
    <w:p>
      <w:pPr>
        <w:pStyle w:val="NormalWeb"/>
        <w:numPr>
          <w:ilvl w:val="0"/>
          <w:numId w:val="24"/>
        </w:numPr>
        <w:spacing w:lineRule="auto" w:line="360" w:before="0" w:after="0"/>
        <w:jc w:val="both"/>
        <w:rPr>
          <w:rFonts w:ascii="Arial" w:hAnsi="Arial" w:cs="Arial"/>
        </w:rPr>
      </w:pPr>
      <w:r>
        <w:rPr>
          <w:rFonts w:cs="Arial" w:ascii="Arial" w:hAnsi="Arial"/>
        </w:rPr>
        <w:t>usługi z zakresu kompleksowego wsparcia rodzin i polityki prorodzinnej : muzykoterapii, choreoterapii, teatralne itp.</w:t>
      </w:r>
    </w:p>
    <w:p>
      <w:pPr>
        <w:pStyle w:val="NormalWeb"/>
        <w:numPr>
          <w:ilvl w:val="0"/>
          <w:numId w:val="24"/>
        </w:numPr>
        <w:spacing w:lineRule="auto" w:line="360" w:before="0" w:after="0"/>
        <w:jc w:val="both"/>
        <w:rPr>
          <w:rFonts w:ascii="Arial" w:hAnsi="Arial" w:cs="Arial"/>
        </w:rPr>
      </w:pPr>
      <w:r>
        <w:rPr>
          <w:rFonts w:cs="Arial" w:ascii="Arial" w:hAnsi="Arial"/>
        </w:rPr>
        <w:t>poradnictwa specjalistycznego w zakresie zdrowego stylu życia przeciwdziałania otyłości (w tym otyłości dzieci oraz wybiórczości pokarmowej),</w:t>
      </w:r>
    </w:p>
    <w:p>
      <w:pPr>
        <w:pStyle w:val="NormalWeb"/>
        <w:numPr>
          <w:ilvl w:val="0"/>
          <w:numId w:val="24"/>
        </w:numPr>
        <w:spacing w:lineRule="auto" w:line="360" w:before="0" w:after="0"/>
        <w:jc w:val="both"/>
        <w:rPr>
          <w:rFonts w:ascii="Arial" w:hAnsi="Arial" w:cs="Arial"/>
        </w:rPr>
      </w:pPr>
      <w:r>
        <w:rPr>
          <w:rFonts w:cs="Arial" w:ascii="Arial" w:hAnsi="Arial"/>
        </w:rPr>
        <w:t>usługi usprawniające/ manualne,</w:t>
      </w:r>
    </w:p>
    <w:p>
      <w:pPr>
        <w:pStyle w:val="NormalWeb"/>
        <w:numPr>
          <w:ilvl w:val="0"/>
          <w:numId w:val="24"/>
        </w:numPr>
        <w:spacing w:lineRule="auto" w:line="360" w:before="0" w:after="0"/>
        <w:jc w:val="both"/>
        <w:rPr>
          <w:rFonts w:ascii="Arial" w:hAnsi="Arial" w:cs="Arial"/>
        </w:rPr>
      </w:pPr>
      <w:r>
        <w:rPr>
          <w:rFonts w:cs="Arial" w:ascii="Arial" w:hAnsi="Arial"/>
        </w:rPr>
        <w:t>usługi o charakterze plenerowym o różnej tematyce,</w:t>
      </w:r>
    </w:p>
    <w:p>
      <w:pPr>
        <w:pStyle w:val="NormalWeb"/>
        <w:numPr>
          <w:ilvl w:val="0"/>
          <w:numId w:val="24"/>
        </w:numPr>
        <w:spacing w:lineRule="auto" w:line="360" w:before="0" w:after="0"/>
        <w:jc w:val="both"/>
        <w:rPr>
          <w:rFonts w:ascii="Arial" w:hAnsi="Arial" w:cs="Arial"/>
        </w:rPr>
      </w:pPr>
      <w:r>
        <w:rPr>
          <w:rFonts w:cs="Arial" w:ascii="Arial" w:hAnsi="Arial"/>
        </w:rPr>
        <w:t>usługi integracji międzypokoleniowej,</w:t>
      </w:r>
    </w:p>
    <w:p>
      <w:pPr>
        <w:pStyle w:val="NormalWeb"/>
        <w:numPr>
          <w:ilvl w:val="0"/>
          <w:numId w:val="24"/>
        </w:numPr>
        <w:spacing w:lineRule="auto" w:line="360" w:before="0" w:after="0"/>
        <w:jc w:val="both"/>
        <w:rPr>
          <w:rFonts w:ascii="Arial" w:hAnsi="Arial" w:cs="Arial"/>
        </w:rPr>
      </w:pPr>
      <w:r>
        <w:rPr>
          <w:rFonts w:cs="Arial" w:ascii="Arial" w:hAnsi="Arial"/>
        </w:rPr>
        <w:t>wydarzenia lokalne o charakterze integracyjnym,</w:t>
      </w:r>
    </w:p>
    <w:p>
      <w:pPr>
        <w:pStyle w:val="NormalWeb"/>
        <w:numPr>
          <w:ilvl w:val="0"/>
          <w:numId w:val="24"/>
        </w:numPr>
        <w:spacing w:lineRule="auto" w:line="360" w:before="0" w:after="0"/>
        <w:jc w:val="both"/>
        <w:rPr>
          <w:rFonts w:ascii="Arial" w:hAnsi="Arial" w:cs="Arial"/>
        </w:rPr>
      </w:pPr>
      <w:r>
        <w:rPr>
          <w:rFonts w:cs="Arial" w:ascii="Arial" w:hAnsi="Arial"/>
        </w:rPr>
        <w:t>utworzenie sieci Placówek Wsparcia Dziennego,</w:t>
      </w:r>
    </w:p>
    <w:p>
      <w:pPr>
        <w:pStyle w:val="NormalWeb"/>
        <w:numPr>
          <w:ilvl w:val="0"/>
          <w:numId w:val="24"/>
        </w:numPr>
        <w:spacing w:lineRule="auto" w:line="360" w:before="0" w:after="0"/>
        <w:jc w:val="both"/>
        <w:rPr>
          <w:rFonts w:ascii="Arial" w:hAnsi="Arial" w:cs="Arial"/>
        </w:rPr>
      </w:pPr>
      <w:r>
        <w:rPr>
          <w:rFonts w:cs="Arial" w:ascii="Arial" w:hAnsi="Arial"/>
        </w:rPr>
        <w:t xml:space="preserve">usługę treningu rodzicielskiego, </w:t>
      </w:r>
    </w:p>
    <w:p>
      <w:pPr>
        <w:pStyle w:val="NormalWeb"/>
        <w:numPr>
          <w:ilvl w:val="0"/>
          <w:numId w:val="24"/>
        </w:numPr>
        <w:spacing w:lineRule="auto" w:line="360" w:before="0" w:after="0"/>
        <w:jc w:val="both"/>
        <w:rPr>
          <w:rFonts w:ascii="Arial" w:hAnsi="Arial" w:cs="Arial"/>
        </w:rPr>
      </w:pPr>
      <w:r>
        <w:rPr>
          <w:rFonts w:cs="Arial" w:ascii="Arial" w:hAnsi="Arial"/>
        </w:rPr>
        <w:t>usługi logopedyczne dla dzieci,</w:t>
      </w:r>
    </w:p>
    <w:p>
      <w:pPr>
        <w:pStyle w:val="NormalWeb"/>
        <w:numPr>
          <w:ilvl w:val="0"/>
          <w:numId w:val="24"/>
        </w:numPr>
        <w:spacing w:lineRule="auto" w:line="360" w:before="0" w:after="0"/>
        <w:jc w:val="both"/>
        <w:rPr>
          <w:rFonts w:ascii="Arial" w:hAnsi="Arial" w:cs="Arial"/>
        </w:rPr>
      </w:pPr>
      <w:r>
        <w:rPr>
          <w:rFonts w:cs="Arial" w:ascii="Arial" w:hAnsi="Arial"/>
        </w:rPr>
        <w:t>usługi integracji sensorycznej,</w:t>
      </w:r>
    </w:p>
    <w:p>
      <w:pPr>
        <w:pStyle w:val="NormalWeb"/>
        <w:numPr>
          <w:ilvl w:val="0"/>
          <w:numId w:val="24"/>
        </w:numPr>
        <w:spacing w:lineRule="auto" w:line="360" w:before="0" w:after="280"/>
        <w:jc w:val="both"/>
        <w:rPr>
          <w:rFonts w:ascii="Arial" w:hAnsi="Arial" w:cs="Arial"/>
        </w:rPr>
      </w:pPr>
      <w:r>
        <w:rPr>
          <w:rFonts w:cs="Arial" w:ascii="Arial" w:hAnsi="Arial"/>
        </w:rPr>
        <w:t xml:space="preserve">usługa specjalistycznej diagnozy zaburzeń spektrum autyzmu, FAZ i innych. </w:t>
      </w:r>
    </w:p>
    <w:p>
      <w:pPr>
        <w:pStyle w:val="NormalWeb"/>
        <w:numPr>
          <w:ilvl w:val="0"/>
          <w:numId w:val="23"/>
        </w:numPr>
        <w:spacing w:lineRule="auto" w:line="360" w:before="280" w:after="280"/>
        <w:jc w:val="both"/>
        <w:rPr>
          <w:rFonts w:ascii="Arial" w:hAnsi="Arial" w:cs="Arial"/>
        </w:rPr>
      </w:pPr>
      <w:r>
        <w:rPr>
          <w:rFonts w:cs="Arial" w:ascii="Arial" w:hAnsi="Arial"/>
        </w:rPr>
        <w:t>W obszarze wspierania seniorów zaproponowano uzupełnienie o usługi:</w:t>
      </w:r>
    </w:p>
    <w:p>
      <w:pPr>
        <w:pStyle w:val="NormalWeb"/>
        <w:spacing w:lineRule="auto" w:line="360" w:beforeAutospacing="0" w:before="0" w:afterAutospacing="0" w:after="0"/>
        <w:ind w:left="360"/>
        <w:jc w:val="both"/>
        <w:rPr>
          <w:rFonts w:ascii="Arial" w:hAnsi="Arial" w:cs="Arial"/>
        </w:rPr>
      </w:pPr>
      <w:r>
        <w:rPr>
          <w:rFonts w:cs="Arial" w:ascii="Arial" w:hAnsi="Arial"/>
        </w:rPr>
        <w:t xml:space="preserve">1) usługi opiekuńcze, </w:t>
      </w:r>
    </w:p>
    <w:p>
      <w:pPr>
        <w:pStyle w:val="NormalWeb"/>
        <w:spacing w:lineRule="auto" w:line="360" w:beforeAutospacing="0" w:before="0" w:afterAutospacing="0" w:after="0"/>
        <w:ind w:left="360"/>
        <w:jc w:val="both"/>
        <w:rPr>
          <w:rFonts w:ascii="Arial" w:hAnsi="Arial" w:cs="Arial"/>
        </w:rPr>
      </w:pPr>
      <w:r>
        <w:rPr>
          <w:rFonts w:cs="Arial" w:ascii="Arial" w:hAnsi="Arial"/>
        </w:rPr>
        <w:t>2) usługi sąsiedzkie,</w:t>
      </w:r>
    </w:p>
    <w:p>
      <w:pPr>
        <w:pStyle w:val="NormalWeb"/>
        <w:spacing w:lineRule="auto" w:line="360" w:beforeAutospacing="0" w:before="0" w:afterAutospacing="0" w:after="0"/>
        <w:ind w:left="360"/>
        <w:jc w:val="both"/>
        <w:rPr>
          <w:rFonts w:ascii="Arial" w:hAnsi="Arial" w:cs="Arial"/>
        </w:rPr>
      </w:pPr>
      <w:r>
        <w:rPr>
          <w:rFonts w:cs="Arial" w:ascii="Arial" w:hAnsi="Arial"/>
        </w:rPr>
        <w:t>3) usługi teleopaski medycznej,</w:t>
      </w:r>
    </w:p>
    <w:p>
      <w:pPr>
        <w:pStyle w:val="NormalWeb"/>
        <w:spacing w:lineRule="auto" w:line="360" w:beforeAutospacing="0" w:before="0" w:afterAutospacing="0" w:after="0"/>
        <w:ind w:left="360"/>
        <w:jc w:val="both"/>
        <w:rPr>
          <w:rFonts w:ascii="Arial" w:hAnsi="Arial" w:cs="Arial"/>
        </w:rPr>
      </w:pPr>
      <w:r>
        <w:rPr>
          <w:rFonts w:cs="Arial" w:ascii="Arial" w:hAnsi="Arial"/>
        </w:rPr>
        <w:t>3) usługi o charakterze usprawniającym,</w:t>
      </w:r>
    </w:p>
    <w:p>
      <w:pPr>
        <w:pStyle w:val="NormalWeb"/>
        <w:spacing w:lineRule="auto" w:line="360" w:beforeAutospacing="0" w:before="0" w:afterAutospacing="0" w:after="0"/>
        <w:ind w:left="360"/>
        <w:jc w:val="both"/>
        <w:rPr>
          <w:rFonts w:ascii="Arial" w:hAnsi="Arial" w:cs="Arial"/>
        </w:rPr>
      </w:pPr>
      <w:r>
        <w:rPr>
          <w:rFonts w:cs="Arial" w:ascii="Arial" w:hAnsi="Arial"/>
        </w:rPr>
        <w:t xml:space="preserve">4) wydarzenia w zakresie pobudzania lokalnej aktywności, </w:t>
      </w:r>
    </w:p>
    <w:p>
      <w:pPr>
        <w:pStyle w:val="NormalWeb"/>
        <w:spacing w:lineRule="auto" w:line="360" w:beforeAutospacing="0" w:before="0" w:afterAutospacing="0" w:after="0"/>
        <w:ind w:left="360"/>
        <w:jc w:val="both"/>
        <w:rPr>
          <w:rFonts w:ascii="Arial" w:hAnsi="Arial" w:cs="Arial"/>
        </w:rPr>
      </w:pPr>
      <w:r>
        <w:rPr>
          <w:rFonts w:cs="Arial" w:ascii="Arial" w:hAnsi="Arial"/>
        </w:rPr>
        <w:t xml:space="preserve">5) Wyjazdy o charakterze kulturalnym i integracyjnym, </w:t>
      </w:r>
    </w:p>
    <w:p>
      <w:pPr>
        <w:pStyle w:val="NormalWeb"/>
        <w:spacing w:lineRule="auto" w:line="360" w:beforeAutospacing="0" w:before="0" w:afterAutospacing="0" w:after="0"/>
        <w:ind w:left="360"/>
        <w:jc w:val="both"/>
        <w:rPr>
          <w:rFonts w:ascii="Arial" w:hAnsi="Arial" w:cs="Arial"/>
        </w:rPr>
      </w:pPr>
      <w:r>
        <w:rPr>
          <w:rFonts w:cs="Arial" w:ascii="Arial" w:hAnsi="Arial"/>
        </w:rPr>
        <w:t>6) Dzienny Dom Pomocy,</w:t>
      </w:r>
    </w:p>
    <w:p>
      <w:pPr>
        <w:pStyle w:val="NormalWeb"/>
        <w:spacing w:lineRule="auto" w:line="360" w:beforeAutospacing="0" w:before="0" w:afterAutospacing="0" w:after="0"/>
        <w:ind w:left="360"/>
        <w:jc w:val="both"/>
        <w:rPr>
          <w:rFonts w:ascii="Arial" w:hAnsi="Arial" w:cs="Arial"/>
        </w:rPr>
      </w:pPr>
      <w:r>
        <w:rPr>
          <w:rFonts w:cs="Arial" w:ascii="Arial" w:hAnsi="Arial"/>
        </w:rPr>
        <w:t>7) Klub Seniora,</w:t>
      </w:r>
    </w:p>
    <w:p>
      <w:pPr>
        <w:pStyle w:val="NormalWeb"/>
        <w:spacing w:lineRule="auto" w:line="360" w:beforeAutospacing="0" w:before="0" w:afterAutospacing="0" w:after="0"/>
        <w:ind w:left="360"/>
        <w:jc w:val="both"/>
        <w:rPr>
          <w:rFonts w:ascii="Arial" w:hAnsi="Arial" w:cs="Arial"/>
        </w:rPr>
      </w:pPr>
      <w:r>
        <w:rPr>
          <w:rFonts w:cs="Arial" w:ascii="Arial" w:hAnsi="Arial"/>
        </w:rPr>
        <w:t>8) Grupy samopomocowe,</w:t>
      </w:r>
    </w:p>
    <w:p>
      <w:pPr>
        <w:pStyle w:val="NormalWeb"/>
        <w:spacing w:lineRule="auto" w:line="360" w:beforeAutospacing="0" w:before="0" w:afterAutospacing="0" w:after="0"/>
        <w:ind w:left="360"/>
        <w:jc w:val="both"/>
        <w:rPr>
          <w:rFonts w:ascii="Arial" w:hAnsi="Arial" w:cs="Arial"/>
        </w:rPr>
      </w:pPr>
      <w:r>
        <w:rPr>
          <w:rFonts w:cs="Arial" w:ascii="Arial" w:hAnsi="Arial"/>
        </w:rPr>
        <w:t xml:space="preserve">9) Usługi mobilności transportowej. </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trakcie warsztatów oraz dyskusji grupowych mieszkańcy gminy Bychawa zgłaszali liczne propozycje dotyczące rozwoju oferty kulturalnej, sportowej, turystycznej oraz zdrowotnej.</w:t>
      </w:r>
    </w:p>
    <w:p>
      <w:pPr>
        <w:pStyle w:val="ListParagraph"/>
        <w:numPr>
          <w:ilvl w:val="0"/>
          <w:numId w:val="23"/>
        </w:numPr>
        <w:spacing w:lineRule="auto" w:line="360" w:beforeAutospacing="1" w:afterAutospacing="1"/>
        <w:contextualSpacing/>
        <w:jc w:val="both"/>
        <w:outlineLvl w:val="2"/>
        <w:rPr>
          <w:rFonts w:ascii="Arial" w:hAnsi="Arial" w:eastAsia="Times New Roman" w:cs="Arial"/>
          <w:kern w:val="0"/>
          <w:lang w:eastAsia="pl-PL"/>
          <w14:ligatures w14:val="none"/>
        </w:rPr>
      </w:pPr>
      <w:r>
        <w:rPr>
          <w:rFonts w:eastAsia="Times New Roman" w:cs="Arial" w:ascii="Arial" w:hAnsi="Arial"/>
          <w:kern w:val="0"/>
          <w:lang w:eastAsia="pl-PL"/>
          <w14:ligatures w14:val="none"/>
        </w:rPr>
        <w:t>Obszar: kultura, sport i turystyka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Wśród wniosków i rekomendacji pojawiły się m.in.:</w:t>
      </w:r>
    </w:p>
    <w:p>
      <w:pPr>
        <w:pStyle w:val="Normal"/>
        <w:numPr>
          <w:ilvl w:val="0"/>
          <w:numId w:val="46"/>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Utworzenie stref relaksu i wypoczynku jako miejsc sprzyjających integracji mieszkańców, w tym szczególnie dyskusjom i spotkaniom międzypokoleniowym.</w:t>
      </w:r>
    </w:p>
    <w:p>
      <w:pPr>
        <w:pStyle w:val="Normal"/>
        <w:numPr>
          <w:ilvl w:val="0"/>
          <w:numId w:val="46"/>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Organizacja rajdów rowerowych i pieszych, które mogłyby stanowić atrakcyjną formę aktywizacji społecznej, promocji zdrowego stylu życia oraz poznawania walorów przyrodniczych i krajobrazowych gminy.</w:t>
      </w:r>
    </w:p>
    <w:p>
      <w:pPr>
        <w:pStyle w:val="Normal"/>
        <w:numPr>
          <w:ilvl w:val="0"/>
          <w:numId w:val="46"/>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Rozwój infrastruktury sportowo-rekreacyjnej, w tym lodowiska, placów zabaw, siłowni plenerowych oraz urządzeń do ćwiczeń na świeżym powietrzu, dostępnych dla mieszkańców w różnym wieku.</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Propozycje te podkreślają potrzebę zwiększenia liczby ogólnodostępnych, przyjaznych przestrzeni publicznych, sprzyjających zarówno rekreacji, jak i integracji społecznej.</w:t>
      </w:r>
    </w:p>
    <w:p>
      <w:pPr>
        <w:pStyle w:val="ListParagraph"/>
        <w:numPr>
          <w:ilvl w:val="0"/>
          <w:numId w:val="23"/>
        </w:numPr>
        <w:spacing w:lineRule="auto" w:line="360" w:beforeAutospacing="1" w:afterAutospacing="1"/>
        <w:contextualSpacing/>
        <w:jc w:val="both"/>
        <w:outlineLvl w:val="2"/>
        <w:rPr>
          <w:rFonts w:ascii="Arial" w:hAnsi="Arial" w:eastAsia="Times New Roman" w:cs="Arial"/>
          <w:kern w:val="0"/>
          <w:lang w:eastAsia="pl-PL"/>
          <w14:ligatures w14:val="none"/>
        </w:rPr>
      </w:pPr>
      <w:r>
        <w:rPr>
          <w:rFonts w:eastAsia="Times New Roman" w:cs="Arial" w:ascii="Arial" w:hAnsi="Arial"/>
          <w:kern w:val="0"/>
          <w:lang w:eastAsia="pl-PL"/>
          <w14:ligatures w14:val="none"/>
        </w:rPr>
        <w:t>Obszar: ochrona zdrowia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zakresie ochrony zdrowia mieszkańcy zwrócili uwagę na potrzebę podniesienia poziomu bezpieczeństwa zdrowotnego w przestrzeni publicznej. Wśród konkretnych propozycji pojawił się pomysł zainstalowania defibrylatora (AED) w centralnych punktach miasta lub przy obiektach użyteczności publicznej. Urządzenie to mogłoby stanowić niezbędną pomoc w sytuacjach nagłego zatrzymania krążenia, umożliwiając podjęcie skutecznych działań ratunkowych przed przybyciem służb medycznych.</w:t>
      </w:r>
    </w:p>
    <w:p>
      <w:pPr>
        <w:pStyle w:val="ListParagraph"/>
        <w:numPr>
          <w:ilvl w:val="0"/>
          <w:numId w:val="23"/>
        </w:numPr>
        <w:spacing w:lineRule="auto" w:line="360" w:beforeAutospacing="1" w:afterAutospacing="1"/>
        <w:contextualSpacing/>
        <w:jc w:val="left"/>
        <w:outlineLvl w:val="2"/>
        <w:rPr>
          <w:rFonts w:ascii="Arial" w:hAnsi="Arial" w:eastAsia="Times New Roman" w:cs="Arial"/>
          <w:kern w:val="0"/>
          <w:lang w:eastAsia="pl-PL"/>
          <w14:ligatures w14:val="none"/>
        </w:rPr>
      </w:pPr>
      <w:r>
        <w:rPr>
          <w:rFonts w:eastAsia="Times New Roman" w:cs="Arial" w:ascii="Arial" w:hAnsi="Arial"/>
          <w:kern w:val="0"/>
          <w:lang w:eastAsia="pl-PL"/>
          <w14:ligatures w14:val="none"/>
        </w:rPr>
        <w:t>Nowe obszary problemowe</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Podczas dyskusji grupowych wskazano również na nowe potrzeby społeczne, dotychczas niedostatecznie analizowane w badaniach diagnostycznych.</w:t>
        <w:br/>
        <w:t>Zwrócono szczególną uwagę na konieczność:</w:t>
      </w:r>
    </w:p>
    <w:p>
      <w:pPr>
        <w:pStyle w:val="Normal"/>
        <w:numPr>
          <w:ilvl w:val="0"/>
          <w:numId w:val="47"/>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organizowania dzieciom i młodzieży czasu wolnego po zajęciach szkolnych,</w:t>
        <w:br/>
        <w:t>z uwzględnieniem oferty usług edukacyjnych, sportowych i kulturalnych dostosowanych do wieku, zainteresowań i możliwości finansowych rodzin.</w:t>
      </w:r>
    </w:p>
    <w:p>
      <w:pPr>
        <w:pStyle w:val="Normal"/>
        <w:numPr>
          <w:ilvl w:val="0"/>
          <w:numId w:val="47"/>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rozwój infrastruktury strefy sensoryczne, parki, lodowisko, ścieżki rowerowe.</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Podkreślano, że rozwój takich form aktywności może przyczynić się do ograniczenia zjawiska wykluczenia społecznego młodzieży, poprawy ich kondycji fizycznej i psychicznej oraz wzmocnienia więzi wspólnotowych w lokalnym środowisku.</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trakcie spotkań i przeprowadzanych wywiadów pojawiły się również inne propozycje dotyczące organizacji usług społecznych w gminie Bychawa. Mieszkańcy zwracali uwagę na potrzebę:</w:t>
      </w:r>
    </w:p>
    <w:p>
      <w:pPr>
        <w:pStyle w:val="Normal"/>
        <w:numPr>
          <w:ilvl w:val="0"/>
          <w:numId w:val="48"/>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zwiększenia mobilności usług, tak aby mogły być realizowane w różnych częściach gminy, nie tylko w mieście Bychawa,</w:t>
      </w:r>
    </w:p>
    <w:p>
      <w:pPr>
        <w:pStyle w:val="Normal"/>
        <w:numPr>
          <w:ilvl w:val="0"/>
          <w:numId w:val="48"/>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objęcia wsparciem wszystkich mieszkańców, niezależnie od miejsca zamieszkania czy sytuacji społeczno-ekonomicznej,</w:t>
      </w:r>
    </w:p>
    <w:p>
      <w:pPr>
        <w:pStyle w:val="Normal"/>
        <w:numPr>
          <w:ilvl w:val="0"/>
          <w:numId w:val="48"/>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zapewnienia elastyczności w świadczeniu usług, umożliwiającej dostosowanie form i godzin ich realizacji do potrzeb poszczególnych grup społecznych (np. seniorów, rodzin z dziećmi, osób z niepełnosprawnościami).</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Podkreślano, że rozwój usług o charakterze mobilnym lub terenowym (np. mobilne punkty poradnictwa, zajęcia rekreacyjne w sołectwach, dyżury specjalistów w różnych lokalizacjach) przyczyniłby się do wyrównywania dostępu do oferty społecznej i kulturalnej oraz wzmacniania spójności wspólnoty gminnej.</w:t>
      </w:r>
    </w:p>
    <w:p>
      <w:pPr>
        <w:pStyle w:val="NormalWeb"/>
        <w:spacing w:lineRule="auto" w:line="360" w:before="280" w:after="280"/>
        <w:ind w:firstLine="708"/>
        <w:jc w:val="both"/>
        <w:rPr>
          <w:rFonts w:ascii="Arial" w:hAnsi="Arial" w:cs="Arial"/>
        </w:rPr>
      </w:pPr>
      <w:r>
        <w:rPr>
          <w:rFonts w:cs="Arial" w:ascii="Arial" w:hAnsi="Arial"/>
        </w:rPr>
        <w:t>W trakcie prowadzenia indywidualnych wywiadów pogłębionych wiele uwagi poświęcono na ujednolicenie definicji obszarów problemowych, w których mogą pojawiać się usługi społeczne. Ponadto uznano, że niezbędne jest bardziej dokładne opisanie, wręcz zdefiniowanie katalogu różnych usług społecznych, które mogą być wykorzystane do przygotowania gminnego programu usług społecznych realizowanego w ramach przyszłego Centrum Usług Społecznych. Takie podejście może znacząco wpłynąć na trafność wyboru usług i ustalenie priorytetowych kierunków ich rozwoju na terenie Gminy Bychawa</w:t>
      </w:r>
    </w:p>
    <w:p>
      <w:pPr>
        <w:pStyle w:val="Normal"/>
        <w:spacing w:lineRule="auto" w:line="360" w:beforeAutospacing="1" w:afterAutospacing="1"/>
        <w:ind w:firstLine="708"/>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Współczesna polityka społeczna w Polsce coraz wyraźniej ukierunkowuje się na proces deinstytucjonalizacji usług społecznych, rozumiany jako odejście od pomocy świadczonej głównie w instytucjach zamkniętych na rzecz zintegrowanych, lokalnych usług środowiskowych, blisko miejsca zamieszkania mieszkańców.</w:t>
        <w:br/>
        <w:t>Celem tego podejścia jest nie tylko zaspokajanie podstawowych potrzeb, ale przede wszystkim wzmacnianie samodzielności, sprawczości i aktywności obywateli, przy jednoczesnym poszanowaniu ich godności i indywidualnych wyborów życiowych.</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Ustawa z dnia 19 lipca 2019 r. o realizowaniu usług społecznych przez centrum usług społecznych wprowadziła nowy model organizacyjny, który umożliwia koordynację i integrację działań w czternastu obszarach polityki społecznej. </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Model ten sprzyja realizacji idei deinstytucjonalizacji poprzez tworzenie sieci usług lokalnych, opartych na współpracy administracji samorządowej, instytucji publicznych, organizacji pozarządowych i samych mieszkańców.</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tym kontekście szczególnego znaczenia nabiera analiza celów i potrzeb w poszczególnych obszarach usług społecznych określonych w art. 2 ustawy o CUS, obejmujących m.in. politykę prorodzinną, wspieranie rodziny, pomoc społeczną, ochronę zdrowia, edukację, wspieranie osób niepełnosprawnych, aktywizację zawodową, kulturę, mieszkalnictwo, ochronę środowiska i inne.</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Działania te mają charakter niematerialny, ukierunkowany na rozwój człowieka i społeczności lokalnej, a ich nadrzędnym celem jest zapewnienie, by każdy mieszkaniec – niezależnie od wieku, stanu zdrowia czy sytuacji życiowej – miał dostęp do adekwatnych, elastycznych i zindywidualizowanych form wsparcia.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odniesieniu do Gminy Bychawa, proces ten wpisuje się w lokalne dokumenty strategiczne, w szczególności w:</w:t>
      </w:r>
    </w:p>
    <w:p>
      <w:pPr>
        <w:pStyle w:val="ListParagraph"/>
        <w:numPr>
          <w:ilvl w:val="0"/>
          <w:numId w:val="58"/>
        </w:numPr>
        <w:spacing w:lineRule="auto" w:line="360" w:beforeAutospacing="1" w:after="0"/>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Strategię Rozwoju Gminy Bychawa na lata 2022–2030, gdzie wskazano na potrzebę zwiększenia dostępności usług społecznych, wzmocnienia integracji i aktywizacji mieszkańców oraz rozwoju współpracy międzysektorowej. </w:t>
      </w:r>
    </w:p>
    <w:p>
      <w:pPr>
        <w:pStyle w:val="ListParagraph"/>
        <w:numPr>
          <w:ilvl w:val="0"/>
          <w:numId w:val="58"/>
        </w:numPr>
        <w:spacing w:lineRule="auto" w:line="360" w:before="0" w:after="0"/>
        <w:contextualSpacing/>
        <w:jc w:val="both"/>
        <w:rPr>
          <w:rFonts w:ascii="Arial" w:hAnsi="Arial" w:eastAsia="Times New Roman" w:cs="Arial"/>
          <w:kern w:val="0"/>
          <w:lang w:eastAsia="pl-PL"/>
          <w14:ligatures w14:val="none"/>
        </w:rPr>
      </w:pPr>
      <w:r>
        <w:rPr>
          <w:rFonts w:cs="Arial" w:ascii="Arial" w:hAnsi="Arial"/>
          <w:shd w:fill="FFFFFF" w:val="clear"/>
        </w:rPr>
        <w:t>Gminnej Strategii Rozwiązywania Problemów Społecznych dla Gminy Bychawa na lata 2017 – 2023</w:t>
      </w:r>
      <w:r>
        <w:rPr>
          <w:rFonts w:eastAsia="Times New Roman" w:cs="Arial" w:ascii="Arial" w:hAnsi="Arial"/>
          <w:kern w:val="0"/>
          <w:shd w:fill="FFFFFF" w:val="clear"/>
          <w:lang w:eastAsia="pl-PL"/>
          <w14:ligatures w14:val="none"/>
        </w:rPr>
        <w:t>.</w:t>
      </w:r>
    </w:p>
    <w:p>
      <w:pPr>
        <w:pStyle w:val="ListParagraph"/>
        <w:numPr>
          <w:ilvl w:val="0"/>
          <w:numId w:val="58"/>
        </w:numPr>
        <w:spacing w:lineRule="auto" w:line="360" w:before="0" w:afterAutospacing="1"/>
        <w:contextualSpacing/>
        <w:jc w:val="both"/>
        <w:rPr>
          <w:rFonts w:ascii="Arial" w:hAnsi="Arial" w:eastAsia="Times New Roman" w:cs="Arial"/>
          <w:kern w:val="0"/>
          <w:lang w:eastAsia="pl-PL"/>
          <w14:ligatures w14:val="none"/>
        </w:rPr>
      </w:pPr>
      <w:r>
        <w:rPr>
          <w:rFonts w:cs="Arial" w:ascii="Arial" w:hAnsi="Arial"/>
        </w:rPr>
        <w:t>Lokalnym Planie Deinstytucjonalizacji Usług Społecznych dla Gminy Bychawa na lata 2024 – 2030</w:t>
      </w:r>
      <w:r>
        <w:rPr>
          <w:rFonts w:eastAsia="Times New Roman" w:cs="Arial" w:ascii="Arial" w:hAnsi="Arial"/>
          <w:kern w:val="0"/>
          <w:lang w:eastAsia="pl-PL"/>
          <w14:ligatures w14:val="none"/>
        </w:rPr>
        <w:t>.</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Utworzenie i rozwój Centrum Usług Społecznych w Gminie Bychawa stanowi narzędzie realizacji tej wizji — łącząc działania pomocowe, edukacyjne, zdrowotne, kulturalne i obywatelskie w jeden spójny system.</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Poniższe opracowanie przedstawia cele poszczególnych obszarów usług społecznych zgodnie z ustawą o CUS oraz zidentyfikowane potrzeby mieszkańców, stanowiące podstawę do planowania i wdrażania kompleksowych usług w ramach procesu deinstytucjonalizacji w Gminie Bychawa.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Art. 2 ustawy z dnia 19 lipca 2019 r. o realizowaniu usług społecznych przez centrum usług społecznych stanowi fundament systemowego podejścia do organizowania i świadczenia usług społecznych na poziomie lokalnym. Przepis ten definiuje, że usługi społeczne obejmują czternaście obszarów działań – od polityki prorodzinnej, poprzez pomoc społeczną, ochronę zdrowia, wspieranie osób niepełnosprawnych, edukację, kulturę i aktywność obywatelską, aż po mieszkalnictwo, ochronę środowiska i reintegrację społeczną.</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Katalog ten ma charakter ramowy i otwarty, co oznacza, że poszczególne gminy  w zależności od swojej specyfiki, struktury demograficznej, uwarunkowań społecznych i potencjału instytucjonalnego – mogą tworzyć własny, spersonalizowany zestaw usług społecznych, dostosowany do rzeczywistych potrzeb mieszkańców.</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Art. 2 ustawy jest więc nie tylko wyliczeniem dziedzin polityki społecznej, lecz przede wszystkim narzędziem integrującym działania samorządu i partnerów lokalnych, umożliwiającym kompleksowe, zindywidualizowane wsparcie osób, rodzin i grup społecznych. Ujęcie usług w wymiarze lokalnym pozwala na ich koordynację, elastyczność i personalizację – tak, aby mieszkańcy mogli korzystać z pomocy „szytej na miarę”, w miejscu i czasie odpowiadającym ich potrzebom.</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kontekście Gminy Bychawa art. 2 ustawy  z dnia 19 lipca 2019 r. o realizowaniu usług  stanowi bazę do opracowania lokalnego katalogu usług społecznych, który:</w:t>
      </w:r>
    </w:p>
    <w:p>
      <w:pPr>
        <w:pStyle w:val="Normal"/>
        <w:numPr>
          <w:ilvl w:val="0"/>
          <w:numId w:val="59"/>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odpowiada na zdiagnozowane problemy i potrzeby mieszkańców,</w:t>
      </w:r>
    </w:p>
    <w:p>
      <w:pPr>
        <w:pStyle w:val="Normal"/>
        <w:numPr>
          <w:ilvl w:val="0"/>
          <w:numId w:val="59"/>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wspiera proces deinstytucjonalizacji, czyli przenoszenia usług ze sfery instytucjonalnej do środowiskowej,</w:t>
      </w:r>
    </w:p>
    <w:p>
      <w:pPr>
        <w:pStyle w:val="Normal"/>
        <w:numPr>
          <w:ilvl w:val="0"/>
          <w:numId w:val="59"/>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sprzyja integracji działań różnych sektorów – publicznego, społecznego i obywatelskiego,</w:t>
      </w:r>
    </w:p>
    <w:p>
      <w:pPr>
        <w:pStyle w:val="Normal"/>
        <w:numPr>
          <w:ilvl w:val="0"/>
          <w:numId w:val="59"/>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oraz umożliwia rozwój usług o charakterze prewencyjnym, wspierającym i aktywizującym.</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oparciu o obszary wskazane w art. 2 w/w ustawy Gmina Bychawa może budować własny model usług społecznych, w którym priorytetem staje się człowiek – jego podmiotowość, bezpieczeństwo, rozwój i uczestnictwo w życiu lokalnej wspólnoty.</w:t>
        <w:br/>
        <w:t>Tym samym art. 2 ustawy z dnia 19 lipca 2019 r. o realizowaniu usług społecznych przez centrum usług społecznych stanowi punkt wyjścia do opracowania katalogu usług społecznych spersonalizowanego dla Gminy Bychawa, obejmującego zarówno działania już realizowane, jak i te, które powinny zostać rozwinięte w ramach procesu deinstytucjonalizacji i rozwoju Centrum Usług Społecznych.</w:t>
      </w:r>
    </w:p>
    <w:p>
      <w:pPr>
        <w:pStyle w:val="Normal"/>
        <w:spacing w:lineRule="auto" w:line="360" w:beforeAutospacing="1" w:afterAutospacing="1"/>
        <w:rPr>
          <w:rFonts w:ascii="Arial" w:hAnsi="Arial" w:eastAsia="Times New Roman" w:cs="Arial"/>
          <w:b/>
          <w:bCs/>
          <w:color w:themeColor="text2" w:val="242852"/>
          <w:kern w:val="0"/>
          <w:lang w:eastAsia="pl-PL"/>
          <w14:ligatures w14:val="none"/>
        </w:rPr>
      </w:pPr>
      <w:r>
        <w:rPr>
          <w:rFonts w:eastAsia="Times New Roman" w:cs="Arial" w:ascii="Arial" w:hAnsi="Arial"/>
          <w:b/>
          <w:bCs/>
          <w:color w:themeColor="text2" w:val="242852"/>
          <w:kern w:val="0"/>
          <w:lang w:eastAsia="pl-PL"/>
          <w14:ligatures w14:val="none"/>
        </w:rPr>
        <w:t xml:space="preserve">ZAKRES OBSZARÓW                                                                                                                   zgodnych z art. 2 ustawy z dnia 19 lipca 2019 r. o realizowaniu usług społecznych przez centrum usług społecznych </w:t>
      </w:r>
    </w:p>
    <w:p>
      <w:pPr>
        <w:pStyle w:val="Normal"/>
        <w:numPr>
          <w:ilvl w:val="0"/>
          <w:numId w:val="0"/>
        </w:numPr>
        <w:spacing w:lineRule="auto" w:line="360" w:beforeAutospacing="1" w:afterAutospacing="1"/>
        <w:ind w:hanging="0" w:left="0"/>
        <w:jc w:val="left"/>
        <w:outlineLvl w:val="1"/>
        <w:rPr>
          <w:rFonts w:ascii="Arial" w:hAnsi="Arial" w:eastAsia="Times New Roman" w:cs="Arial"/>
          <w:b/>
          <w:bCs/>
          <w:color w:themeColor="text2" w:val="242852"/>
          <w:kern w:val="0"/>
          <w:lang w:eastAsia="pl-PL"/>
          <w14:ligatures w14:val="none"/>
        </w:rPr>
      </w:pPr>
      <w:r>
        <w:rPr>
          <w:rFonts w:eastAsia="Times New Roman" w:cs="Times New Roman" w:ascii="Times New Roman" w:hAnsi="Times New Roman"/>
          <w:b/>
          <w:bCs/>
          <w:color w:themeColor="text2" w:val="242852"/>
          <w:kern w:val="0"/>
          <w:lang w:eastAsia="pl-PL"/>
          <w14:ligatures w14:val="none"/>
        </w:rPr>
        <w:t>1</w:t>
      </w:r>
      <w:r>
        <w:rPr>
          <w:rFonts w:eastAsia="Times New Roman" w:cs="Arial" w:ascii="Arial" w:hAnsi="Arial"/>
          <w:b/>
          <w:bCs/>
          <w:color w:themeColor="text2" w:val="242852"/>
          <w:kern w:val="0"/>
          <w:lang w:eastAsia="pl-PL"/>
          <w14:ligatures w14:val="none"/>
        </w:rPr>
        <w:t>) Polityka prorodzinna</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Cel:</w:t>
      </w:r>
      <w:r>
        <w:rPr>
          <w:rFonts w:eastAsia="Times New Roman" w:cs="Arial" w:ascii="Arial" w:hAnsi="Arial"/>
          <w:kern w:val="0"/>
          <w:lang w:eastAsia="pl-PL"/>
          <w14:ligatures w14:val="none"/>
        </w:rPr>
        <w:br/>
        <w:t>Wspieranie rodzin w pełnieniu funkcji opiekuńczych i wychowawczych, promowanie rodzicielstwa, tworzenie warunków godzenia życia zawodowego i rodzinnego.</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Identyfikowane potrzeby:</w:t>
      </w:r>
    </w:p>
    <w:p>
      <w:pPr>
        <w:pStyle w:val="Normal"/>
        <w:numPr>
          <w:ilvl w:val="0"/>
          <w:numId w:val="60"/>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Kompleksowe wsparcie w formie specjalistycznych usług społecznych (psychologicznych, terapeutycznych, logopedycznych).</w:t>
      </w:r>
    </w:p>
    <w:p>
      <w:pPr>
        <w:pStyle w:val="Normal"/>
        <w:numPr>
          <w:ilvl w:val="0"/>
          <w:numId w:val="60"/>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Organizacja działań wzmacniających funkcję rodziny (warsztaty, wydarzenia lokalne, integracja międzypokoleniowa).</w:t>
      </w:r>
    </w:p>
    <w:p>
      <w:pPr>
        <w:pStyle w:val="Normal"/>
        <w:numPr>
          <w:ilvl w:val="0"/>
          <w:numId w:val="60"/>
        </w:numPr>
        <w:spacing w:lineRule="auto" w:line="360" w:before="0" w:after="0"/>
        <w:jc w:val="both"/>
        <w:rPr>
          <w:rFonts w:ascii="Arial" w:hAnsi="Arial" w:eastAsia="Times New Roman" w:cs="Arial"/>
          <w:kern w:val="0"/>
          <w:lang w:eastAsia="pl-PL"/>
          <w14:ligatures w14:val="none"/>
        </w:rPr>
      </w:pPr>
      <w:r>
        <w:rPr>
          <w:rFonts w:cs="Arial" w:ascii="Arial" w:hAnsi="Arial"/>
        </w:rPr>
        <w:t>Wsparcie w zakresie problemów wychowawczych, emocjonalnych                                       i społecznych.</w:t>
      </w:r>
    </w:p>
    <w:p>
      <w:pPr>
        <w:pStyle w:val="Normal"/>
        <w:numPr>
          <w:ilvl w:val="0"/>
          <w:numId w:val="60"/>
        </w:numPr>
        <w:spacing w:lineRule="auto" w:line="360" w:before="0" w:after="0"/>
        <w:jc w:val="both"/>
        <w:rPr>
          <w:rFonts w:ascii="Arial" w:hAnsi="Arial" w:eastAsia="Times New Roman" w:cs="Arial"/>
          <w:kern w:val="0"/>
          <w:lang w:eastAsia="pl-PL"/>
          <w14:ligatures w14:val="none"/>
        </w:rPr>
      </w:pPr>
      <w:r>
        <w:rPr>
          <w:rFonts w:cs="Arial" w:ascii="Arial" w:hAnsi="Arial"/>
        </w:rPr>
        <w:t>Rozwój form wsparcia środowiskowego, które sprzyjają budowaniu relacji, wzmacnianiu więzi oraz podnoszeniu kompetencji wychowawczych                                    i społecznych.</w:t>
      </w:r>
    </w:p>
    <w:p>
      <w:pPr>
        <w:pStyle w:val="Normal"/>
        <w:numPr>
          <w:ilvl w:val="0"/>
          <w:numId w:val="60"/>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Rozwój oferty opieki nad dziećmi do lat 3 (żłobki, kluby dziecięce).</w:t>
      </w:r>
    </w:p>
    <w:p>
      <w:pPr>
        <w:pStyle w:val="Normal"/>
        <w:numPr>
          <w:ilvl w:val="0"/>
          <w:numId w:val="60"/>
        </w:numPr>
        <w:spacing w:lineRule="auto" w:line="360" w:before="0" w:afterAutospacing="1"/>
        <w:jc w:val="both"/>
        <w:rPr>
          <w:rFonts w:ascii="Arial" w:hAnsi="Arial" w:eastAsia="Times New Roman" w:cs="Arial"/>
          <w:kern w:val="0"/>
          <w:lang w:eastAsia="pl-PL"/>
          <w14:ligatures w14:val="none"/>
        </w:rPr>
      </w:pPr>
      <w:r>
        <w:rPr>
          <w:rStyle w:val="Strong"/>
          <w:rFonts w:cs="Arial" w:ascii="Arial" w:hAnsi="Arial"/>
          <w:b w:val="false"/>
          <w:bCs w:val="false"/>
        </w:rPr>
        <w:t xml:space="preserve">Grupy wsparcia dla rodziców w tym (np. </w:t>
      </w:r>
      <w:r>
        <w:rPr>
          <w:rFonts w:cs="Arial" w:ascii="Arial" w:hAnsi="Arial"/>
        </w:rPr>
        <w:t xml:space="preserve">grupa rodziców dzieci z niepełnosprawnościami, grupa młodych rodziców z dziećmi (0-3 lata), grupa ,,rodzicielstwo po stracie”)-pełniące funkcję pomocową, profilaktyczną  i integracyjną. </w:t>
      </w:r>
    </w:p>
    <w:p>
      <w:pPr>
        <w:pStyle w:val="NormalWeb"/>
        <w:spacing w:before="280" w:after="280"/>
        <w:ind w:left="360"/>
        <w:jc w:val="left"/>
        <w:rPr>
          <w:rFonts w:ascii="Arial" w:hAnsi="Arial" w:cs="Arial"/>
        </w:rPr>
      </w:pPr>
      <w:r>
        <w:rPr>
          <w:rFonts w:cs="Arial" w:ascii="Arial" w:hAnsi="Arial"/>
        </w:rPr>
      </w:r>
    </w:p>
    <w:p>
      <w:pPr>
        <w:pStyle w:val="Heading2"/>
        <w:jc w:val="both"/>
        <w:rPr>
          <w:rFonts w:ascii="Arial" w:hAnsi="Arial" w:cs="Arial"/>
          <w:b/>
          <w:bCs/>
          <w:color w:val="00204F"/>
          <w:sz w:val="24"/>
          <w:szCs w:val="24"/>
        </w:rPr>
      </w:pPr>
      <w:r>
        <w:rPr>
          <w:rFonts w:cs="Arial" w:ascii="Arial" w:hAnsi="Arial"/>
          <w:b/>
          <w:bCs/>
          <w:color w:val="00204F"/>
          <w:sz w:val="24"/>
          <w:szCs w:val="24"/>
        </w:rPr>
        <w:t>2) Wspieranie rodziny</w:t>
      </w:r>
    </w:p>
    <w:p>
      <w:pPr>
        <w:pStyle w:val="NormalWeb"/>
        <w:spacing w:lineRule="auto" w:line="360" w:before="280" w:after="280"/>
        <w:jc w:val="both"/>
        <w:rPr>
          <w:rFonts w:ascii="Arial" w:hAnsi="Arial" w:cs="Arial"/>
        </w:rPr>
      </w:pPr>
      <w:r>
        <w:rPr>
          <w:rStyle w:val="Strong"/>
          <w:rFonts w:eastAsia="" w:cs="Arial" w:ascii="Arial" w:hAnsi="Arial" w:eastAsiaTheme="majorEastAsia"/>
        </w:rPr>
        <w:t>Cel:</w:t>
      </w:r>
      <w:r>
        <w:rPr>
          <w:rFonts w:cs="Arial" w:ascii="Arial" w:hAnsi="Arial"/>
        </w:rPr>
        <w:br/>
        <w:t>Zapobieganie dysfunkcjom rodziny, ochrona dobra dziecka, rozwijanie kompetencji wychowawczych.</w:t>
      </w:r>
    </w:p>
    <w:p>
      <w:pPr>
        <w:pStyle w:val="NormalWeb"/>
        <w:spacing w:lineRule="auto" w:line="360" w:before="280" w:after="280"/>
        <w:jc w:val="left"/>
        <w:rPr>
          <w:rFonts w:ascii="Arial" w:hAnsi="Arial" w:cs="Arial"/>
        </w:rPr>
      </w:pPr>
      <w:r>
        <w:rPr>
          <w:rStyle w:val="Strong"/>
          <w:rFonts w:eastAsia="" w:cs="Arial" w:ascii="Arial" w:hAnsi="Arial" w:eastAsiaTheme="majorEastAsia"/>
        </w:rPr>
        <w:t>Identyfikowane potrzeby:</w:t>
      </w:r>
    </w:p>
    <w:p>
      <w:pPr>
        <w:pStyle w:val="Normal"/>
        <w:numPr>
          <w:ilvl w:val="0"/>
          <w:numId w:val="61"/>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Poprawa jakości życia rodzin poprzez wsparcie  w formie usług społecznych.</w:t>
      </w:r>
    </w:p>
    <w:p>
      <w:pPr>
        <w:pStyle w:val="Normal"/>
        <w:numPr>
          <w:ilvl w:val="0"/>
          <w:numId w:val="6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Aktywizacja społeczna i integracja rodzin w środowisku lokalnym.</w:t>
      </w:r>
    </w:p>
    <w:p>
      <w:pPr>
        <w:pStyle w:val="Normal"/>
        <w:numPr>
          <w:ilvl w:val="0"/>
          <w:numId w:val="6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Przeciwdziałanie wykluczeniu społecznemu dzieci i rodziców.</w:t>
      </w:r>
    </w:p>
    <w:p>
      <w:pPr>
        <w:pStyle w:val="Normal"/>
        <w:numPr>
          <w:ilvl w:val="0"/>
          <w:numId w:val="6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Wzmacnianie kompetencji wychowawczych rodziców i opiekunów. </w:t>
      </w:r>
    </w:p>
    <w:p>
      <w:pPr>
        <w:pStyle w:val="NormalWeb"/>
        <w:numPr>
          <w:ilvl w:val="0"/>
          <w:numId w:val="61"/>
        </w:numPr>
        <w:spacing w:lineRule="auto" w:line="360" w:before="280" w:after="0"/>
        <w:jc w:val="left"/>
        <w:rPr>
          <w:rFonts w:ascii="Arial" w:hAnsi="Arial" w:cs="Arial"/>
        </w:rPr>
      </w:pPr>
      <w:r>
        <w:rPr>
          <w:rFonts w:cs="Arial" w:ascii="Arial" w:hAnsi="Arial"/>
        </w:rPr>
        <w:t xml:space="preserve">Pomoc rodzinom z problemami opiekuńczo-wychowawczymi i przemocą domową. </w:t>
      </w:r>
    </w:p>
    <w:p>
      <w:pPr>
        <w:pStyle w:val="NormalWeb"/>
        <w:numPr>
          <w:ilvl w:val="0"/>
          <w:numId w:val="61"/>
        </w:numPr>
        <w:spacing w:lineRule="auto" w:line="360" w:before="0" w:after="0"/>
        <w:jc w:val="both"/>
        <w:rPr>
          <w:rFonts w:ascii="Arial" w:hAnsi="Arial" w:cs="Arial"/>
        </w:rPr>
      </w:pPr>
      <w:r>
        <w:rPr>
          <w:rStyle w:val="Strong"/>
          <w:rFonts w:eastAsia="" w:cs="Arial" w:ascii="Arial" w:hAnsi="Arial" w:eastAsiaTheme="majorEastAsia"/>
          <w:b w:val="false"/>
          <w:bCs w:val="false"/>
        </w:rPr>
        <w:t>Usługi psychologiczne i terapeutyczne</w:t>
      </w:r>
    </w:p>
    <w:p>
      <w:pPr>
        <w:pStyle w:val="NormalWeb"/>
        <w:numPr>
          <w:ilvl w:val="1"/>
          <w:numId w:val="61"/>
        </w:numPr>
        <w:spacing w:lineRule="auto" w:line="360" w:before="0" w:after="0"/>
        <w:jc w:val="both"/>
        <w:rPr>
          <w:rFonts w:ascii="Arial" w:hAnsi="Arial" w:cs="Arial"/>
        </w:rPr>
      </w:pPr>
      <w:r>
        <w:rPr>
          <w:rFonts w:cs="Arial" w:ascii="Arial" w:hAnsi="Arial"/>
        </w:rPr>
        <w:t>konsultacje indywidualne i grupowe dla dzieci, młodzieży i rodzin;</w:t>
      </w:r>
    </w:p>
    <w:p>
      <w:pPr>
        <w:pStyle w:val="NormalWeb"/>
        <w:numPr>
          <w:ilvl w:val="1"/>
          <w:numId w:val="61"/>
        </w:numPr>
        <w:spacing w:lineRule="auto" w:line="360" w:before="0" w:after="0"/>
        <w:jc w:val="both"/>
        <w:rPr>
          <w:rFonts w:ascii="Arial" w:hAnsi="Arial" w:cs="Arial"/>
        </w:rPr>
      </w:pPr>
      <w:r>
        <w:rPr>
          <w:rFonts w:cs="Arial" w:ascii="Arial" w:hAnsi="Arial"/>
        </w:rPr>
        <w:t>wsparcie w zakresie problemów wychowawczych, emocjonalnych i społecznych;</w:t>
      </w:r>
    </w:p>
    <w:p>
      <w:pPr>
        <w:pStyle w:val="NormalWeb"/>
        <w:numPr>
          <w:ilvl w:val="0"/>
          <w:numId w:val="61"/>
        </w:numPr>
        <w:spacing w:lineRule="auto" w:line="360" w:before="0" w:after="0"/>
        <w:jc w:val="both"/>
        <w:rPr>
          <w:rFonts w:ascii="Arial" w:hAnsi="Arial" w:cs="Arial"/>
        </w:rPr>
      </w:pPr>
      <w:r>
        <w:rPr>
          <w:rStyle w:val="Strong"/>
          <w:rFonts w:eastAsia="" w:cs="Arial" w:ascii="Arial" w:hAnsi="Arial" w:eastAsiaTheme="majorEastAsia"/>
          <w:b w:val="false"/>
          <w:bCs w:val="false"/>
        </w:rPr>
        <w:t>Warsztaty rozwojowe i terapeutyczne</w:t>
      </w:r>
    </w:p>
    <w:p>
      <w:pPr>
        <w:pStyle w:val="NormalWeb"/>
        <w:numPr>
          <w:ilvl w:val="1"/>
          <w:numId w:val="61"/>
        </w:numPr>
        <w:spacing w:lineRule="auto" w:line="360" w:before="0" w:after="0"/>
        <w:jc w:val="both"/>
        <w:rPr>
          <w:rFonts w:ascii="Arial" w:hAnsi="Arial" w:cs="Arial"/>
        </w:rPr>
      </w:pPr>
      <w:r>
        <w:rPr>
          <w:rStyle w:val="Strong"/>
          <w:rFonts w:eastAsia="" w:cs="Arial" w:ascii="Arial" w:hAnsi="Arial" w:eastAsiaTheme="majorEastAsia"/>
          <w:b w:val="false"/>
          <w:bCs w:val="false"/>
        </w:rPr>
        <w:t>muzykoterapia</w:t>
      </w:r>
      <w:r>
        <w:rPr>
          <w:rFonts w:cs="Arial" w:ascii="Arial" w:hAnsi="Arial"/>
        </w:rPr>
        <w:t xml:space="preserve"> – zajęcia wspierające rozwój emocjonalny, kreatywność i koncentrację;</w:t>
      </w:r>
    </w:p>
    <w:p>
      <w:pPr>
        <w:pStyle w:val="NormalWeb"/>
        <w:numPr>
          <w:ilvl w:val="1"/>
          <w:numId w:val="61"/>
        </w:numPr>
        <w:spacing w:lineRule="auto" w:line="360" w:before="0" w:after="0"/>
        <w:jc w:val="both"/>
        <w:rPr>
          <w:rFonts w:ascii="Arial" w:hAnsi="Arial" w:cs="Arial"/>
        </w:rPr>
      </w:pPr>
      <w:r>
        <w:rPr>
          <w:rStyle w:val="Strong"/>
          <w:rFonts w:eastAsia="" w:cs="Arial" w:ascii="Arial" w:hAnsi="Arial" w:eastAsiaTheme="majorEastAsia"/>
          <w:b w:val="false"/>
          <w:bCs w:val="false"/>
        </w:rPr>
        <w:t>choreoterapia</w:t>
      </w:r>
      <w:r>
        <w:rPr>
          <w:rFonts w:cs="Arial" w:ascii="Arial" w:hAnsi="Arial"/>
        </w:rPr>
        <w:t xml:space="preserve"> – terapia ruchem rozwijająca sprawność fizyczną i koordynację;</w:t>
      </w:r>
    </w:p>
    <w:p>
      <w:pPr>
        <w:pStyle w:val="NormalWeb"/>
        <w:numPr>
          <w:ilvl w:val="1"/>
          <w:numId w:val="61"/>
        </w:numPr>
        <w:spacing w:lineRule="auto" w:line="360" w:before="0" w:after="0"/>
        <w:jc w:val="both"/>
        <w:rPr>
          <w:rFonts w:ascii="Arial" w:hAnsi="Arial" w:cs="Arial"/>
        </w:rPr>
      </w:pPr>
      <w:r>
        <w:rPr>
          <w:rStyle w:val="Strong"/>
          <w:rFonts w:eastAsia="" w:cs="Arial" w:ascii="Arial" w:hAnsi="Arial" w:eastAsiaTheme="majorEastAsia"/>
          <w:b w:val="false"/>
          <w:bCs w:val="false"/>
        </w:rPr>
        <w:t>warsztaty zdrowego stylu życia</w:t>
      </w:r>
      <w:r>
        <w:rPr>
          <w:rFonts w:cs="Arial" w:ascii="Arial" w:hAnsi="Arial"/>
        </w:rPr>
        <w:t xml:space="preserve"> – edukacja w zakresie żywienia, aktywności fizycznej i higieny zdrowotnej;</w:t>
      </w:r>
    </w:p>
    <w:p>
      <w:pPr>
        <w:pStyle w:val="NormalWeb"/>
        <w:numPr>
          <w:ilvl w:val="1"/>
          <w:numId w:val="61"/>
        </w:numPr>
        <w:spacing w:lineRule="auto" w:line="360" w:before="0" w:after="0"/>
        <w:jc w:val="both"/>
        <w:rPr>
          <w:rFonts w:ascii="Arial" w:hAnsi="Arial" w:cs="Arial"/>
        </w:rPr>
      </w:pPr>
      <w:r>
        <w:rPr>
          <w:rStyle w:val="Strong"/>
          <w:rFonts w:eastAsia="" w:cs="Arial" w:ascii="Arial" w:hAnsi="Arial" w:eastAsiaTheme="majorEastAsia"/>
          <w:b w:val="false"/>
          <w:bCs w:val="false"/>
        </w:rPr>
        <w:t>warsztaty plenerowe</w:t>
      </w:r>
      <w:r>
        <w:rPr>
          <w:rFonts w:cs="Arial" w:ascii="Arial" w:hAnsi="Arial"/>
        </w:rPr>
        <w:t xml:space="preserve"> – aktywności w przestrzeni publicznej sprzyjające integracji, profilaktyce i kontaktowi z naturą;</w:t>
      </w:r>
    </w:p>
    <w:p>
      <w:pPr>
        <w:pStyle w:val="NormalWeb"/>
        <w:numPr>
          <w:ilvl w:val="0"/>
          <w:numId w:val="61"/>
        </w:numPr>
        <w:spacing w:lineRule="auto" w:line="360" w:before="0" w:after="0"/>
        <w:jc w:val="both"/>
        <w:rPr>
          <w:rFonts w:ascii="Arial" w:hAnsi="Arial" w:cs="Arial"/>
        </w:rPr>
      </w:pPr>
      <w:r>
        <w:rPr>
          <w:rStyle w:val="Strong"/>
          <w:rFonts w:eastAsia="" w:cs="Arial" w:ascii="Arial" w:hAnsi="Arial" w:eastAsiaTheme="majorEastAsia"/>
          <w:b w:val="false"/>
          <w:bCs w:val="false"/>
        </w:rPr>
        <w:t>Wydarzenia pobudzające aktywność obywatelską i społeczną</w:t>
      </w:r>
    </w:p>
    <w:p>
      <w:pPr>
        <w:pStyle w:val="NormalWeb"/>
        <w:numPr>
          <w:ilvl w:val="1"/>
          <w:numId w:val="61"/>
        </w:numPr>
        <w:spacing w:lineRule="auto" w:line="360" w:before="0" w:after="0"/>
        <w:jc w:val="both"/>
        <w:rPr>
          <w:rFonts w:ascii="Arial" w:hAnsi="Arial" w:cs="Arial"/>
        </w:rPr>
      </w:pPr>
      <w:r>
        <w:rPr>
          <w:rFonts w:cs="Arial" w:ascii="Arial" w:hAnsi="Arial"/>
        </w:rPr>
        <w:t>spotkania, akcje i kampanie edukacyjne promujące udział mieszkańców w życiu społeczności lokalnej;</w:t>
      </w:r>
    </w:p>
    <w:p>
      <w:pPr>
        <w:pStyle w:val="NormalWeb"/>
        <w:numPr>
          <w:ilvl w:val="1"/>
          <w:numId w:val="61"/>
        </w:numPr>
        <w:spacing w:lineRule="auto" w:line="360" w:before="0" w:after="0"/>
        <w:jc w:val="both"/>
        <w:rPr>
          <w:rFonts w:ascii="Arial" w:hAnsi="Arial" w:cs="Arial"/>
        </w:rPr>
      </w:pPr>
      <w:r>
        <w:rPr>
          <w:rFonts w:cs="Arial" w:ascii="Arial" w:hAnsi="Arial"/>
        </w:rPr>
        <w:t>warsztaty i wydarzenia integrujące rodziny i różne grupy wiekowe;</w:t>
      </w:r>
    </w:p>
    <w:p>
      <w:pPr>
        <w:pStyle w:val="NormalWeb"/>
        <w:numPr>
          <w:ilvl w:val="1"/>
          <w:numId w:val="61"/>
        </w:numPr>
        <w:spacing w:lineRule="auto" w:line="360" w:before="0" w:after="0"/>
        <w:jc w:val="both"/>
        <w:rPr>
          <w:rFonts w:ascii="Arial" w:hAnsi="Arial" w:cs="Arial"/>
        </w:rPr>
      </w:pPr>
      <w:r>
        <w:rPr>
          <w:rFonts w:cs="Arial" w:ascii="Arial" w:hAnsi="Arial"/>
        </w:rPr>
        <w:t>działania z zakresu  wolontariatu i zaangażowania społecznego;</w:t>
      </w:r>
    </w:p>
    <w:p>
      <w:pPr>
        <w:pStyle w:val="NormalWeb"/>
        <w:numPr>
          <w:ilvl w:val="0"/>
          <w:numId w:val="61"/>
        </w:numPr>
        <w:spacing w:lineRule="auto" w:line="360" w:before="0" w:after="0"/>
        <w:jc w:val="both"/>
        <w:rPr>
          <w:rFonts w:ascii="Arial" w:hAnsi="Arial" w:cs="Arial"/>
        </w:rPr>
      </w:pPr>
      <w:r>
        <w:rPr>
          <w:rStyle w:val="Strong"/>
          <w:rFonts w:eastAsia="" w:cs="Arial" w:ascii="Arial" w:hAnsi="Arial" w:eastAsiaTheme="majorEastAsia"/>
          <w:b w:val="false"/>
          <w:bCs w:val="false"/>
        </w:rPr>
        <w:t>Rozwój sieci Placówek Wsparcia Dziennego</w:t>
      </w:r>
    </w:p>
    <w:p>
      <w:pPr>
        <w:pStyle w:val="NormalWeb"/>
        <w:numPr>
          <w:ilvl w:val="1"/>
          <w:numId w:val="61"/>
        </w:numPr>
        <w:spacing w:lineRule="auto" w:line="360" w:before="0" w:after="0"/>
        <w:jc w:val="both"/>
        <w:rPr>
          <w:rFonts w:ascii="Arial" w:hAnsi="Arial" w:cs="Arial"/>
        </w:rPr>
      </w:pPr>
      <w:r>
        <w:rPr>
          <w:rFonts w:cs="Arial" w:ascii="Arial" w:hAnsi="Arial"/>
        </w:rPr>
        <w:t>zwiększenie dostępności opieki dziennej w różnych miejscowościach gminy;</w:t>
      </w:r>
    </w:p>
    <w:p>
      <w:pPr>
        <w:pStyle w:val="NormalWeb"/>
        <w:numPr>
          <w:ilvl w:val="1"/>
          <w:numId w:val="61"/>
        </w:numPr>
        <w:spacing w:lineRule="auto" w:line="360" w:before="0" w:after="0"/>
        <w:jc w:val="both"/>
        <w:rPr>
          <w:rFonts w:ascii="Arial" w:hAnsi="Arial" w:cs="Arial"/>
        </w:rPr>
      </w:pPr>
      <w:r>
        <w:rPr>
          <w:rFonts w:cs="Arial" w:ascii="Arial" w:hAnsi="Arial"/>
        </w:rPr>
        <w:t>wspieranie rodzin poprzez zapewnienie opieki i edukacji dzieciom w czasie nieobecności rodziców;</w:t>
      </w:r>
    </w:p>
    <w:p>
      <w:pPr>
        <w:pStyle w:val="NormalWeb"/>
        <w:numPr>
          <w:ilvl w:val="0"/>
          <w:numId w:val="61"/>
        </w:numPr>
        <w:spacing w:lineRule="auto" w:line="360" w:before="0" w:after="0"/>
        <w:jc w:val="both"/>
        <w:rPr>
          <w:rFonts w:ascii="Arial" w:hAnsi="Arial" w:cs="Arial"/>
        </w:rPr>
      </w:pPr>
      <w:r>
        <w:rPr>
          <w:rStyle w:val="Strong"/>
          <w:rFonts w:eastAsia="" w:cs="Arial" w:ascii="Arial" w:hAnsi="Arial" w:eastAsiaTheme="majorEastAsia"/>
          <w:b w:val="false"/>
          <w:bCs w:val="false"/>
        </w:rPr>
        <w:t>Usługi specjalistyczne w edukacji szkolnej i przedszkolnej</w:t>
      </w:r>
    </w:p>
    <w:p>
      <w:pPr>
        <w:pStyle w:val="NormalWeb"/>
        <w:numPr>
          <w:ilvl w:val="1"/>
          <w:numId w:val="61"/>
        </w:numPr>
        <w:spacing w:lineRule="auto" w:line="360" w:before="0" w:after="0"/>
        <w:jc w:val="both"/>
        <w:rPr>
          <w:rFonts w:ascii="Arial" w:hAnsi="Arial" w:cs="Arial"/>
        </w:rPr>
      </w:pPr>
      <w:r>
        <w:rPr>
          <w:rFonts w:cs="Arial" w:ascii="Arial" w:hAnsi="Arial"/>
        </w:rPr>
        <w:t>logopedia, zajęcia dodatkowe i specjalistyczne w przedszkolach, oddziałach przedszkolnych oraz szkołach;</w:t>
      </w:r>
    </w:p>
    <w:p>
      <w:pPr>
        <w:pStyle w:val="NormalWeb"/>
        <w:numPr>
          <w:ilvl w:val="1"/>
          <w:numId w:val="61"/>
        </w:numPr>
        <w:spacing w:lineRule="auto" w:line="360" w:before="0" w:after="0"/>
        <w:jc w:val="both"/>
        <w:rPr>
          <w:rFonts w:ascii="Arial" w:hAnsi="Arial" w:cs="Arial"/>
        </w:rPr>
      </w:pPr>
      <w:r>
        <w:rPr>
          <w:rFonts w:cs="Arial" w:ascii="Arial" w:hAnsi="Arial"/>
        </w:rPr>
        <w:t>wsparcie dzieci o specjalnych potrzebach edukacyjnych;</w:t>
      </w:r>
    </w:p>
    <w:p>
      <w:pPr>
        <w:pStyle w:val="NormalWeb"/>
        <w:numPr>
          <w:ilvl w:val="1"/>
          <w:numId w:val="61"/>
        </w:numPr>
        <w:spacing w:lineRule="auto" w:line="360" w:before="0" w:after="0"/>
        <w:jc w:val="both"/>
        <w:rPr>
          <w:rFonts w:ascii="Arial" w:hAnsi="Arial" w:cs="Arial"/>
        </w:rPr>
      </w:pPr>
      <w:r>
        <w:rPr>
          <w:rFonts w:cs="Arial" w:ascii="Arial" w:hAnsi="Arial"/>
        </w:rPr>
        <w:t>zajęcia rozwijające kompetencje społeczne, językowe i poznawcze;</w:t>
      </w:r>
    </w:p>
    <w:p>
      <w:pPr>
        <w:pStyle w:val="NormalWeb"/>
        <w:numPr>
          <w:ilvl w:val="0"/>
          <w:numId w:val="61"/>
        </w:numPr>
        <w:spacing w:lineRule="auto" w:line="360" w:before="0" w:after="0"/>
        <w:jc w:val="both"/>
        <w:rPr>
          <w:rFonts w:ascii="Arial" w:hAnsi="Arial" w:cs="Arial"/>
        </w:rPr>
      </w:pPr>
      <w:r>
        <w:rPr>
          <w:rStyle w:val="Strong"/>
          <w:rFonts w:eastAsia="" w:cs="Arial" w:ascii="Arial" w:hAnsi="Arial" w:eastAsiaTheme="majorEastAsia"/>
          <w:b w:val="false"/>
          <w:bCs w:val="false"/>
        </w:rPr>
        <w:t>Wyjazdy edukacyjne i rekreacyjne</w:t>
      </w:r>
    </w:p>
    <w:p>
      <w:pPr>
        <w:pStyle w:val="NormalWeb"/>
        <w:numPr>
          <w:ilvl w:val="1"/>
          <w:numId w:val="61"/>
        </w:numPr>
        <w:spacing w:lineRule="auto" w:line="360" w:before="0" w:after="0"/>
        <w:jc w:val="both"/>
        <w:rPr>
          <w:rFonts w:ascii="Arial" w:hAnsi="Arial" w:cs="Arial"/>
        </w:rPr>
      </w:pPr>
      <w:r>
        <w:rPr>
          <w:rFonts w:cs="Arial" w:ascii="Arial" w:hAnsi="Arial"/>
        </w:rPr>
        <w:t>wycieczki i warsztaty poza miejscem zamieszkania;</w:t>
      </w:r>
    </w:p>
    <w:p>
      <w:pPr>
        <w:pStyle w:val="NormalWeb"/>
        <w:numPr>
          <w:ilvl w:val="1"/>
          <w:numId w:val="61"/>
        </w:numPr>
        <w:spacing w:lineRule="auto" w:line="360" w:before="0" w:after="0"/>
        <w:jc w:val="both"/>
        <w:rPr>
          <w:rFonts w:ascii="Arial" w:hAnsi="Arial" w:cs="Arial"/>
        </w:rPr>
      </w:pPr>
      <w:r>
        <w:rPr>
          <w:rFonts w:cs="Arial" w:ascii="Arial" w:hAnsi="Arial"/>
        </w:rPr>
        <w:t>rozwój wiedzy praktycznej, kompetencji społecznych i zainteresowań dzieci i młodzieży;</w:t>
      </w:r>
    </w:p>
    <w:p>
      <w:pPr>
        <w:pStyle w:val="NormalWeb"/>
        <w:numPr>
          <w:ilvl w:val="0"/>
          <w:numId w:val="61"/>
        </w:numPr>
        <w:spacing w:lineRule="auto" w:line="360" w:before="0" w:after="0"/>
        <w:jc w:val="both"/>
        <w:rPr>
          <w:rFonts w:ascii="Arial" w:hAnsi="Arial" w:cs="Arial"/>
        </w:rPr>
      </w:pPr>
      <w:r>
        <w:rPr>
          <w:rFonts w:cs="Arial" w:ascii="Arial" w:hAnsi="Arial"/>
        </w:rPr>
        <w:t>Usługi z zakresu integracji i wzmocnienia więzi rodzinnych oraz relacji międzypokoleniowych</w:t>
      </w:r>
    </w:p>
    <w:p>
      <w:pPr>
        <w:pStyle w:val="NormalWeb"/>
        <w:numPr>
          <w:ilvl w:val="0"/>
          <w:numId w:val="61"/>
        </w:numPr>
        <w:spacing w:lineRule="auto" w:line="360" w:before="0" w:after="0"/>
        <w:jc w:val="both"/>
        <w:rPr>
          <w:rFonts w:ascii="Arial" w:hAnsi="Arial" w:eastAsia="" w:cs="Arial" w:eastAsiaTheme="majorEastAsia"/>
        </w:rPr>
      </w:pPr>
      <w:r>
        <w:rPr>
          <w:rFonts w:cs="Arial" w:ascii="Arial" w:hAnsi="Arial"/>
        </w:rPr>
        <w:t>Strefy sensoryczne dostępne w żłobkach, przedszkolach, szkołach i  przestrzeni publicznej.</w:t>
      </w:r>
    </w:p>
    <w:p>
      <w:pPr>
        <w:pStyle w:val="NormalWeb"/>
        <w:numPr>
          <w:ilvl w:val="0"/>
          <w:numId w:val="61"/>
        </w:numPr>
        <w:spacing w:lineRule="auto" w:line="360" w:before="0" w:after="280"/>
        <w:jc w:val="both"/>
        <w:rPr>
          <w:rStyle w:val="Nagwek3Znak"/>
          <w:rFonts w:ascii="Arial" w:hAnsi="Arial" w:cs="Arial"/>
          <w:color w:val="auto"/>
          <w:sz w:val="24"/>
          <w:szCs w:val="24"/>
        </w:rPr>
      </w:pPr>
      <w:r>
        <w:rPr>
          <w:rFonts w:cs="Arial" w:ascii="Arial" w:hAnsi="Arial"/>
        </w:rPr>
        <w:t>Usługi Asystenta Rodziny</w:t>
      </w:r>
    </w:p>
    <w:p>
      <w:pPr>
        <w:pStyle w:val="Heading2"/>
        <w:spacing w:lineRule="auto" w:line="360"/>
        <w:jc w:val="left"/>
        <w:rPr>
          <w:rFonts w:ascii="Arial" w:hAnsi="Arial" w:cs="Arial"/>
          <w:b/>
          <w:bCs/>
          <w:color w:val="00204F"/>
          <w:sz w:val="24"/>
          <w:szCs w:val="24"/>
        </w:rPr>
      </w:pPr>
      <w:r>
        <w:rPr>
          <w:b/>
          <w:bCs/>
          <w:color w:val="00204F"/>
          <w:sz w:val="24"/>
          <w:szCs w:val="24"/>
        </w:rPr>
        <w:t>3</w:t>
      </w:r>
      <w:r>
        <w:rPr>
          <w:rFonts w:cs="Arial" w:ascii="Arial" w:hAnsi="Arial"/>
          <w:b/>
          <w:bCs/>
          <w:color w:val="00204F"/>
          <w:sz w:val="24"/>
          <w:szCs w:val="24"/>
        </w:rPr>
        <w:t>) System pieczy zastępczej</w:t>
      </w:r>
    </w:p>
    <w:p>
      <w:pPr>
        <w:pStyle w:val="NormalWeb"/>
        <w:spacing w:lineRule="auto" w:line="360" w:before="280" w:after="280"/>
        <w:jc w:val="left"/>
        <w:rPr>
          <w:rFonts w:ascii="Arial" w:hAnsi="Arial" w:cs="Arial"/>
        </w:rPr>
      </w:pPr>
      <w:r>
        <w:rPr>
          <w:rStyle w:val="Strong"/>
          <w:rFonts w:eastAsia="" w:cs="Arial" w:ascii="Arial" w:hAnsi="Arial" w:eastAsiaTheme="majorEastAsia"/>
        </w:rPr>
        <w:t>Cel:</w:t>
      </w:r>
      <w:r>
        <w:rPr>
          <w:rFonts w:cs="Arial" w:ascii="Arial" w:hAnsi="Arial"/>
        </w:rPr>
        <w:br/>
        <w:t>Zapewnienie dzieciom opieki zastępczej w sytuacjach, gdy rodzina biologiczna nie może jej sprawować, oraz wsparcie rodzin zastępczych.</w:t>
      </w:r>
    </w:p>
    <w:p>
      <w:pPr>
        <w:pStyle w:val="NormalWeb"/>
        <w:spacing w:lineRule="auto" w:line="360" w:before="280" w:after="280"/>
        <w:jc w:val="left"/>
        <w:rPr>
          <w:rFonts w:ascii="Arial" w:hAnsi="Arial" w:cs="Arial"/>
        </w:rPr>
      </w:pPr>
      <w:r>
        <w:rPr>
          <w:rStyle w:val="Strong"/>
          <w:rFonts w:eastAsia="" w:cs="Arial" w:ascii="Arial" w:hAnsi="Arial" w:eastAsiaTheme="majorEastAsia"/>
        </w:rPr>
        <w:t>Identyfikowane potrzeby:</w:t>
      </w:r>
    </w:p>
    <w:p>
      <w:pPr>
        <w:pStyle w:val="NormalWeb"/>
        <w:numPr>
          <w:ilvl w:val="0"/>
          <w:numId w:val="62"/>
        </w:numPr>
        <w:spacing w:lineRule="auto" w:line="360" w:before="280" w:after="0"/>
        <w:jc w:val="left"/>
        <w:rPr>
          <w:rFonts w:ascii="Arial" w:hAnsi="Arial" w:cs="Arial"/>
        </w:rPr>
      </w:pPr>
      <w:r>
        <w:rPr>
          <w:rFonts w:cs="Arial" w:ascii="Arial" w:hAnsi="Arial"/>
        </w:rPr>
        <w:t>Wsparcie psychologiczne i terapeutyczne dla rodzin zastępczych.</w:t>
      </w:r>
    </w:p>
    <w:p>
      <w:pPr>
        <w:pStyle w:val="NormalWeb"/>
        <w:numPr>
          <w:ilvl w:val="0"/>
          <w:numId w:val="62"/>
        </w:numPr>
        <w:spacing w:lineRule="auto" w:line="360" w:before="0" w:after="0"/>
        <w:jc w:val="left"/>
        <w:rPr>
          <w:rFonts w:ascii="Arial" w:hAnsi="Arial" w:cs="Arial"/>
        </w:rPr>
      </w:pPr>
      <w:r>
        <w:rPr>
          <w:rFonts w:cs="Arial" w:ascii="Arial" w:hAnsi="Arial"/>
        </w:rPr>
        <w:t>Integracja z lokalną społecznością poprzez udział w warsztatach i wydarzeniach kulturalnych i rekreacyjnych.</w:t>
      </w:r>
    </w:p>
    <w:p>
      <w:pPr>
        <w:pStyle w:val="NormalWeb"/>
        <w:numPr>
          <w:ilvl w:val="0"/>
          <w:numId w:val="62"/>
        </w:numPr>
        <w:spacing w:lineRule="auto" w:line="360" w:before="0" w:after="0"/>
        <w:jc w:val="left"/>
        <w:rPr>
          <w:rFonts w:ascii="Arial" w:hAnsi="Arial" w:cs="Arial"/>
        </w:rPr>
      </w:pPr>
      <w:r>
        <w:rPr>
          <w:rFonts w:cs="Arial" w:ascii="Arial" w:hAnsi="Arial"/>
        </w:rPr>
        <w:t>Działania na rzecz reintegracji rodzinnej (powrotu dziecka do rodzin biologicznej).</w:t>
      </w:r>
    </w:p>
    <w:p>
      <w:pPr>
        <w:pStyle w:val="Normal"/>
        <w:numPr>
          <w:ilvl w:val="0"/>
          <w:numId w:val="62"/>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Wsparcie procesu usamodzielniania dzieci opuszczających pieczę zastępczą i stworzenie warunków do samodzielnego życia i integracji społecznej,</w:t>
      </w:r>
    </w:p>
    <w:p>
      <w:pPr>
        <w:pStyle w:val="Heading2"/>
        <w:jc w:val="both"/>
        <w:rPr>
          <w:rFonts w:ascii="Arial" w:hAnsi="Arial" w:cs="Arial"/>
          <w:b/>
          <w:bCs/>
          <w:color w:val="00204F"/>
          <w:sz w:val="24"/>
          <w:szCs w:val="24"/>
        </w:rPr>
      </w:pPr>
      <w:r>
        <w:rPr>
          <w:rFonts w:cs="Arial" w:ascii="Arial" w:hAnsi="Arial"/>
          <w:b/>
          <w:bCs/>
          <w:color w:val="00204F"/>
          <w:sz w:val="24"/>
          <w:szCs w:val="24"/>
        </w:rPr>
        <w:t>4) Pomoc społeczna</w:t>
      </w:r>
    </w:p>
    <w:p>
      <w:pPr>
        <w:pStyle w:val="NormalWeb"/>
        <w:spacing w:lineRule="auto" w:line="360" w:before="280" w:after="280"/>
        <w:jc w:val="both"/>
        <w:rPr>
          <w:rFonts w:ascii="Arial" w:hAnsi="Arial" w:cs="Arial"/>
        </w:rPr>
      </w:pPr>
      <w:r>
        <w:rPr>
          <w:rStyle w:val="Strong"/>
          <w:rFonts w:eastAsia="" w:cs="Arial" w:ascii="Arial" w:hAnsi="Arial" w:eastAsiaTheme="majorEastAsia"/>
        </w:rPr>
        <w:t>Cel:</w:t>
      </w:r>
      <w:r>
        <w:rPr>
          <w:rFonts w:cs="Arial" w:ascii="Arial" w:hAnsi="Arial"/>
        </w:rPr>
        <w:br/>
        <w:t>Umożliwienie osobom i rodzinom przezwyciężania trudnych sytuacji życiowych, zaspokajanie podstawowych potrzeb, przeciwdziałanie wykluczeniu.</w:t>
      </w:r>
    </w:p>
    <w:p>
      <w:pPr>
        <w:pStyle w:val="NormalWeb"/>
        <w:spacing w:lineRule="auto" w:line="360" w:before="280" w:after="280"/>
        <w:jc w:val="both"/>
        <w:rPr>
          <w:rFonts w:ascii="Arial" w:hAnsi="Arial" w:cs="Arial"/>
        </w:rPr>
      </w:pPr>
      <w:r>
        <w:rPr>
          <w:rStyle w:val="Strong"/>
          <w:rFonts w:eastAsia="" w:cs="Arial" w:ascii="Arial" w:hAnsi="Arial" w:eastAsiaTheme="majorEastAsia"/>
        </w:rPr>
        <w:t>Identyfikowane potrzeby:</w:t>
      </w:r>
    </w:p>
    <w:p>
      <w:pPr>
        <w:pStyle w:val="NormalWeb"/>
        <w:numPr>
          <w:ilvl w:val="0"/>
          <w:numId w:val="63"/>
        </w:numPr>
        <w:spacing w:lineRule="auto" w:line="360" w:beforeAutospacing="0" w:before="0" w:after="280"/>
        <w:jc w:val="both"/>
        <w:rPr>
          <w:rFonts w:ascii="Arial" w:hAnsi="Arial" w:cs="Arial"/>
        </w:rPr>
      </w:pPr>
      <w:r>
        <w:rPr>
          <w:rFonts w:cs="Arial" w:ascii="Arial" w:hAnsi="Arial"/>
        </w:rPr>
        <w:t>Usługi opiekuńcze świadczone  w miejscu zamieszkania (seniorzy, osoby niesamodzielne, osoby z niepełnosprawnościami).</w:t>
      </w:r>
    </w:p>
    <w:p>
      <w:pPr>
        <w:pStyle w:val="NormalWeb"/>
        <w:numPr>
          <w:ilvl w:val="0"/>
          <w:numId w:val="63"/>
        </w:numPr>
        <w:spacing w:lineRule="auto" w:line="360" w:beforeAutospacing="0" w:before="0" w:after="280"/>
        <w:jc w:val="both"/>
        <w:rPr>
          <w:rFonts w:ascii="Arial" w:hAnsi="Arial" w:cs="Arial"/>
        </w:rPr>
      </w:pPr>
      <w:r>
        <w:rPr>
          <w:rFonts w:cs="Arial" w:ascii="Arial" w:hAnsi="Arial"/>
        </w:rPr>
        <w:t xml:space="preserve">Usługi sąsiedzkie.  </w:t>
      </w:r>
    </w:p>
    <w:p>
      <w:pPr>
        <w:pStyle w:val="NormalWeb"/>
        <w:numPr>
          <w:ilvl w:val="0"/>
          <w:numId w:val="63"/>
        </w:numPr>
        <w:spacing w:lineRule="auto" w:line="360" w:beforeAutospacing="0" w:before="0" w:after="280"/>
        <w:jc w:val="both"/>
        <w:rPr>
          <w:rFonts w:ascii="Arial" w:hAnsi="Arial" w:cs="Arial"/>
        </w:rPr>
      </w:pPr>
      <w:r>
        <w:rPr>
          <w:rFonts w:cs="Arial" w:ascii="Arial" w:hAnsi="Arial"/>
        </w:rPr>
        <w:t>Wsparcie finansowe (zasiłki stałe, okresowe, celowe, celowe specjalne i rzeczowe -żywność, leki, opał).</w:t>
      </w:r>
    </w:p>
    <w:p>
      <w:pPr>
        <w:pStyle w:val="NormalWeb"/>
        <w:numPr>
          <w:ilvl w:val="0"/>
          <w:numId w:val="63"/>
        </w:numPr>
        <w:spacing w:lineRule="auto" w:line="360" w:beforeAutospacing="0" w:before="0" w:after="280"/>
        <w:jc w:val="both"/>
        <w:rPr>
          <w:rFonts w:ascii="Arial" w:hAnsi="Arial" w:cs="Arial"/>
        </w:rPr>
      </w:pPr>
      <w:r>
        <w:rPr>
          <w:rFonts w:cs="Arial" w:ascii="Arial" w:hAnsi="Arial"/>
        </w:rPr>
        <w:t>Środowiskowa praca socjalna.</w:t>
      </w:r>
    </w:p>
    <w:p>
      <w:pPr>
        <w:pStyle w:val="Heading3"/>
        <w:numPr>
          <w:ilvl w:val="0"/>
          <w:numId w:val="63"/>
        </w:numPr>
        <w:spacing w:before="0" w:after="80"/>
        <w:jc w:val="both"/>
        <w:rPr>
          <w:rFonts w:ascii="Arial" w:hAnsi="Arial" w:cs="Arial"/>
          <w:color w:val="auto"/>
          <w:sz w:val="24"/>
          <w:szCs w:val="24"/>
        </w:rPr>
      </w:pPr>
      <w:r>
        <w:rPr>
          <w:rFonts w:cs="Arial" w:ascii="Arial" w:hAnsi="Arial"/>
          <w:color w:val="auto"/>
          <w:sz w:val="24"/>
          <w:szCs w:val="24"/>
        </w:rPr>
        <w:t>Integracja z usługami społecznymi.</w:t>
      </w:r>
    </w:p>
    <w:p>
      <w:pPr>
        <w:pStyle w:val="Normal"/>
        <w:numPr>
          <w:ilvl w:val="0"/>
          <w:numId w:val="63"/>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Przeciwdziałanie wykluczeniu społecznemu i ubóstwu.</w:t>
      </w:r>
    </w:p>
    <w:p>
      <w:pPr>
        <w:pStyle w:val="Normal"/>
        <w:numPr>
          <w:ilvl w:val="0"/>
          <w:numId w:val="63"/>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Wspieranie integracji społecznej i aktywności obywatelskiej mieszkańców.</w:t>
      </w:r>
    </w:p>
    <w:p>
      <w:pPr>
        <w:pStyle w:val="Heading2"/>
        <w:jc w:val="left"/>
        <w:rPr>
          <w:rFonts w:ascii="Arial" w:hAnsi="Arial" w:cs="Arial"/>
          <w:b/>
          <w:bCs/>
          <w:sz w:val="24"/>
          <w:szCs w:val="24"/>
        </w:rPr>
      </w:pPr>
      <w:r>
        <w:rPr>
          <w:rFonts w:cs="Arial" w:ascii="Arial" w:hAnsi="Arial"/>
          <w:b/>
          <w:bCs/>
          <w:sz w:val="24"/>
          <w:szCs w:val="24"/>
        </w:rPr>
        <w:t>5) Promocja i ochrona zdrowia</w:t>
      </w:r>
    </w:p>
    <w:p>
      <w:pPr>
        <w:pStyle w:val="NormalWeb"/>
        <w:spacing w:lineRule="auto" w:line="360" w:before="280" w:after="280"/>
        <w:jc w:val="left"/>
        <w:rPr>
          <w:rFonts w:ascii="Arial" w:hAnsi="Arial" w:cs="Arial"/>
        </w:rPr>
      </w:pPr>
      <w:r>
        <w:rPr>
          <w:rStyle w:val="Strong"/>
          <w:rFonts w:eastAsia="" w:cs="Arial" w:ascii="Arial" w:hAnsi="Arial" w:eastAsiaTheme="majorEastAsia"/>
        </w:rPr>
        <w:t>Cel:</w:t>
      </w:r>
      <w:r>
        <w:rPr>
          <w:rFonts w:cs="Arial" w:ascii="Arial" w:hAnsi="Arial"/>
        </w:rPr>
        <w:br/>
        <w:t>Poprawa zdrowia fizycznego i psychicznego mieszkańców, zwiększanie świadomości zdrowotnej i dostępności do usług zdrowotnych.</w:t>
      </w:r>
    </w:p>
    <w:p>
      <w:pPr>
        <w:pStyle w:val="NormalWeb"/>
        <w:spacing w:lineRule="auto" w:line="360" w:before="280" w:after="280"/>
        <w:jc w:val="left"/>
        <w:rPr>
          <w:rFonts w:ascii="Arial" w:hAnsi="Arial" w:cs="Arial"/>
        </w:rPr>
      </w:pPr>
      <w:r>
        <w:rPr>
          <w:rStyle w:val="Strong"/>
          <w:rFonts w:eastAsia="" w:cs="Arial" w:ascii="Arial" w:hAnsi="Arial" w:eastAsiaTheme="majorEastAsia"/>
        </w:rPr>
        <w:t>Identyfikowane potrzeby:</w:t>
      </w:r>
    </w:p>
    <w:p>
      <w:pPr>
        <w:pStyle w:val="NormalWeb"/>
        <w:numPr>
          <w:ilvl w:val="0"/>
          <w:numId w:val="64"/>
        </w:numPr>
        <w:spacing w:lineRule="auto" w:line="360" w:before="280" w:after="0"/>
        <w:jc w:val="left"/>
        <w:rPr>
          <w:rFonts w:ascii="Arial" w:hAnsi="Arial" w:cs="Arial"/>
        </w:rPr>
      </w:pPr>
      <w:r>
        <w:rPr>
          <w:rFonts w:cs="Arial" w:ascii="Arial" w:hAnsi="Arial"/>
        </w:rPr>
        <w:t>Wypożyczalnia sprzętu wspomagającego/pielęgnacyjnego.</w:t>
      </w:r>
    </w:p>
    <w:p>
      <w:pPr>
        <w:pStyle w:val="NormalWeb"/>
        <w:numPr>
          <w:ilvl w:val="0"/>
          <w:numId w:val="64"/>
        </w:numPr>
        <w:spacing w:lineRule="auto" w:line="360" w:before="0" w:after="0"/>
        <w:jc w:val="left"/>
        <w:rPr>
          <w:rFonts w:ascii="Arial" w:hAnsi="Arial" w:cs="Arial"/>
        </w:rPr>
      </w:pPr>
      <w:r>
        <w:rPr>
          <w:rFonts w:cs="Arial" w:ascii="Arial" w:hAnsi="Arial"/>
        </w:rPr>
        <w:t>Programy profilaktyczne (choroby cywilizacyjne, uzależnienia).</w:t>
      </w:r>
    </w:p>
    <w:p>
      <w:pPr>
        <w:pStyle w:val="NormalWeb"/>
        <w:numPr>
          <w:ilvl w:val="0"/>
          <w:numId w:val="64"/>
        </w:numPr>
        <w:spacing w:lineRule="auto" w:line="360" w:before="0" w:after="0"/>
        <w:jc w:val="left"/>
        <w:rPr>
          <w:rFonts w:ascii="Arial" w:hAnsi="Arial" w:cs="Arial"/>
        </w:rPr>
      </w:pPr>
      <w:r>
        <w:rPr>
          <w:rFonts w:cs="Arial" w:ascii="Arial" w:hAnsi="Arial"/>
        </w:rPr>
        <w:t>Usługi  psychiatryczne i psychologiczne zwłaszcza dla młodzieży i seniorów.</w:t>
      </w:r>
    </w:p>
    <w:p>
      <w:pPr>
        <w:pStyle w:val="NormalWeb"/>
        <w:numPr>
          <w:ilvl w:val="0"/>
          <w:numId w:val="64"/>
        </w:numPr>
        <w:spacing w:lineRule="auto" w:line="360" w:before="0" w:after="0"/>
        <w:jc w:val="left"/>
        <w:rPr>
          <w:rFonts w:ascii="Arial" w:hAnsi="Arial" w:cs="Arial"/>
        </w:rPr>
      </w:pPr>
      <w:r>
        <w:rPr>
          <w:rFonts w:cs="Arial" w:ascii="Arial" w:hAnsi="Arial"/>
        </w:rPr>
        <w:t>Edukacja prozdrowotna i warsztaty zdrowego stylu życia.</w:t>
      </w:r>
    </w:p>
    <w:p>
      <w:pPr>
        <w:pStyle w:val="NormalWeb"/>
        <w:numPr>
          <w:ilvl w:val="0"/>
          <w:numId w:val="64"/>
        </w:numPr>
        <w:spacing w:lineRule="auto" w:line="360" w:before="0" w:after="280"/>
        <w:jc w:val="left"/>
        <w:rPr>
          <w:rFonts w:ascii="Arial" w:hAnsi="Arial" w:cs="Arial"/>
        </w:rPr>
      </w:pPr>
      <w:r>
        <w:rPr>
          <w:rFonts w:cs="Arial" w:ascii="Arial" w:hAnsi="Arial"/>
        </w:rPr>
        <w:t xml:space="preserve">Koordynacja usług społecznych i zdrowotnych. </w:t>
      </w:r>
    </w:p>
    <w:p>
      <w:pPr>
        <w:pStyle w:val="Heading2"/>
        <w:jc w:val="left"/>
        <w:rPr>
          <w:rFonts w:ascii="Arial" w:hAnsi="Arial" w:cs="Arial"/>
          <w:b/>
          <w:bCs/>
          <w:color w:val="00204F"/>
          <w:sz w:val="24"/>
          <w:szCs w:val="24"/>
        </w:rPr>
      </w:pPr>
      <w:r>
        <w:rPr>
          <w:rFonts w:cs="Arial" w:ascii="Arial" w:hAnsi="Arial"/>
          <w:b/>
          <w:bCs/>
          <w:color w:val="00204F"/>
          <w:sz w:val="24"/>
          <w:szCs w:val="24"/>
        </w:rPr>
        <w:t>6) Wspieranie osób niepełnosprawnych</w:t>
      </w:r>
    </w:p>
    <w:p>
      <w:pPr>
        <w:pStyle w:val="NormalWeb"/>
        <w:spacing w:lineRule="auto" w:line="360" w:before="280" w:after="280"/>
        <w:jc w:val="both"/>
        <w:rPr>
          <w:rFonts w:ascii="Arial" w:hAnsi="Arial" w:cs="Arial"/>
        </w:rPr>
      </w:pPr>
      <w:r>
        <w:rPr>
          <w:rStyle w:val="Strong"/>
          <w:rFonts w:eastAsia="" w:cs="Arial" w:ascii="Arial" w:hAnsi="Arial" w:eastAsiaTheme="majorEastAsia"/>
        </w:rPr>
        <w:t>Cel:</w:t>
      </w:r>
      <w:r>
        <w:rPr>
          <w:rFonts w:cs="Arial" w:ascii="Arial" w:hAnsi="Arial"/>
        </w:rPr>
        <w:br/>
        <w:t>Zwiększenie samodzielności, aktywizacja społeczna i zawodowa osób z niepełnosprawnościami, likwidacja barier.</w:t>
      </w:r>
    </w:p>
    <w:p>
      <w:pPr>
        <w:pStyle w:val="NormalWeb"/>
        <w:spacing w:lineRule="auto" w:line="360" w:before="280" w:after="280"/>
        <w:jc w:val="both"/>
        <w:rPr>
          <w:rFonts w:ascii="Arial" w:hAnsi="Arial" w:cs="Arial"/>
        </w:rPr>
      </w:pPr>
      <w:r>
        <w:rPr>
          <w:rStyle w:val="Strong"/>
          <w:rFonts w:eastAsia="" w:cs="Arial" w:ascii="Arial" w:hAnsi="Arial" w:eastAsiaTheme="majorEastAsia"/>
        </w:rPr>
        <w:t>Identyfikowane potrzeby:</w:t>
      </w:r>
    </w:p>
    <w:p>
      <w:pPr>
        <w:pStyle w:val="NormalWeb"/>
        <w:numPr>
          <w:ilvl w:val="0"/>
          <w:numId w:val="65"/>
        </w:numPr>
        <w:spacing w:lineRule="auto" w:line="360" w:before="280" w:after="0"/>
        <w:jc w:val="both"/>
        <w:rPr>
          <w:rFonts w:ascii="Arial" w:hAnsi="Arial" w:cs="Arial"/>
        </w:rPr>
      </w:pPr>
      <w:r>
        <w:rPr>
          <w:rFonts w:cs="Arial" w:ascii="Arial" w:hAnsi="Arial"/>
        </w:rPr>
        <w:t>Usługi Asystencji osób z niepełnosprawnościami.</w:t>
      </w:r>
    </w:p>
    <w:p>
      <w:pPr>
        <w:pStyle w:val="NormalWeb"/>
        <w:numPr>
          <w:ilvl w:val="0"/>
          <w:numId w:val="65"/>
        </w:numPr>
        <w:spacing w:lineRule="auto" w:line="360" w:before="0" w:after="0"/>
        <w:jc w:val="both"/>
        <w:rPr>
          <w:rFonts w:ascii="Arial" w:hAnsi="Arial" w:cs="Arial"/>
        </w:rPr>
      </w:pPr>
      <w:r>
        <w:rPr>
          <w:rFonts w:cs="Arial" w:ascii="Arial" w:hAnsi="Arial"/>
        </w:rPr>
        <w:t xml:space="preserve">Usługi mobilności transportowej. </w:t>
      </w:r>
    </w:p>
    <w:p>
      <w:pPr>
        <w:pStyle w:val="NormalWeb"/>
        <w:numPr>
          <w:ilvl w:val="0"/>
          <w:numId w:val="65"/>
        </w:numPr>
        <w:spacing w:lineRule="auto" w:line="360" w:before="0" w:after="0"/>
        <w:jc w:val="both"/>
        <w:rPr>
          <w:rFonts w:ascii="Arial" w:hAnsi="Arial" w:cs="Arial"/>
        </w:rPr>
      </w:pPr>
      <w:r>
        <w:rPr>
          <w:rFonts w:cs="Arial" w:ascii="Arial" w:hAnsi="Arial"/>
        </w:rPr>
        <w:t xml:space="preserve">Dostępność przestrzeni publicznej i instytucji dla osób o szczególnych potrzebach. </w:t>
      </w:r>
    </w:p>
    <w:p>
      <w:pPr>
        <w:pStyle w:val="NormalWeb"/>
        <w:numPr>
          <w:ilvl w:val="0"/>
          <w:numId w:val="65"/>
        </w:numPr>
        <w:spacing w:lineRule="auto" w:line="360" w:before="0" w:after="0"/>
        <w:jc w:val="both"/>
        <w:rPr>
          <w:rFonts w:ascii="Arial" w:hAnsi="Arial" w:cs="Arial"/>
        </w:rPr>
      </w:pPr>
      <w:r>
        <w:rPr>
          <w:rFonts w:cs="Arial" w:ascii="Arial" w:hAnsi="Arial"/>
        </w:rPr>
        <w:t>Warsztaty terapii zajęciowej.</w:t>
      </w:r>
    </w:p>
    <w:p>
      <w:pPr>
        <w:pStyle w:val="NormalWeb"/>
        <w:numPr>
          <w:ilvl w:val="0"/>
          <w:numId w:val="65"/>
        </w:numPr>
        <w:spacing w:lineRule="auto" w:line="360" w:before="0" w:after="280"/>
        <w:jc w:val="both"/>
        <w:rPr>
          <w:rFonts w:ascii="Arial" w:hAnsi="Arial" w:cs="Arial"/>
        </w:rPr>
      </w:pPr>
      <w:r>
        <w:rPr>
          <w:rFonts w:cs="Arial" w:ascii="Arial" w:hAnsi="Arial"/>
        </w:rPr>
        <w:t>Wsparcie rodzin opiekujących się osobami niepełnosprawnymi.</w:t>
      </w:r>
    </w:p>
    <w:p>
      <w:pPr>
        <w:pStyle w:val="Heading2"/>
        <w:jc w:val="left"/>
        <w:rPr>
          <w:rFonts w:ascii="Arial" w:hAnsi="Arial" w:cs="Arial"/>
          <w:b/>
          <w:bCs/>
          <w:sz w:val="24"/>
          <w:szCs w:val="24"/>
        </w:rPr>
      </w:pPr>
      <w:r>
        <w:rPr>
          <w:rFonts w:cs="Arial" w:ascii="Arial" w:hAnsi="Arial"/>
          <w:b/>
          <w:bCs/>
          <w:sz w:val="24"/>
          <w:szCs w:val="24"/>
        </w:rPr>
        <w:t>7) Edukacja publiczna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Cel:</w:t>
      </w:r>
      <w:r>
        <w:rPr>
          <w:rFonts w:eastAsia="Times New Roman" w:cs="Arial" w:ascii="Arial" w:hAnsi="Arial"/>
          <w:kern w:val="0"/>
          <w:lang w:eastAsia="pl-PL"/>
          <w14:ligatures w14:val="none"/>
        </w:rPr>
        <w:br/>
        <w:t>Wyrównywanie szans edukacyjnych, wspieranie rozwoju dzieci, młodzieży i dorosłych, rozwijanie kompetencji społecznych oraz umożliwianie mieszkańcom uczenia się przez całe życie.</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Identyfikowane potrzeby:</w:t>
      </w:r>
    </w:p>
    <w:p>
      <w:pPr>
        <w:pStyle w:val="Normal"/>
        <w:numPr>
          <w:ilvl w:val="0"/>
          <w:numId w:val="66"/>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Wsparcie edukacji cyfrowej oraz rozwój kompetencji kluczowych.</w:t>
        <w:br/>
        <w:t>-zapewnienie mieszkańcom niezależnie od wieku dostępu do edukacji cyfrowej.</w:t>
      </w:r>
    </w:p>
    <w:p>
      <w:pPr>
        <w:pStyle w:val="Normal"/>
        <w:numPr>
          <w:ilvl w:val="0"/>
          <w:numId w:val="66"/>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Profilaktyka zachowań ryzykownych i przemocy.</w:t>
        <w:br/>
        <w:t>Realizacja programów profilaktycznych skierowanych do dzieci, młodzieży, rodziców, seniorów oraz różnych grup społecznych, obejmujących m.in. przeciwdziałanie przemocy, uzależnieniom, cyberprzemocy i zachowaniom destrukcyjnym.</w:t>
      </w:r>
    </w:p>
    <w:p>
      <w:pPr>
        <w:pStyle w:val="Normal"/>
        <w:numPr>
          <w:ilvl w:val="0"/>
          <w:numId w:val="66"/>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Rozwój edukacji pozaformalnej i aktywności środowiskowej dla wszystkich mieszkańców gminy. </w:t>
      </w:r>
    </w:p>
    <w:p>
      <w:pPr>
        <w:pStyle w:val="Heading2"/>
        <w:spacing w:lineRule="auto" w:line="360"/>
        <w:jc w:val="both"/>
        <w:rPr>
          <w:rFonts w:ascii="Arial" w:hAnsi="Arial" w:cs="Arial"/>
          <w:b/>
          <w:bCs/>
          <w:color w:val="00204F"/>
          <w:sz w:val="24"/>
          <w:szCs w:val="24"/>
        </w:rPr>
      </w:pPr>
      <w:r>
        <w:rPr>
          <w:rFonts w:cs="Arial" w:ascii="Arial" w:hAnsi="Arial"/>
          <w:b/>
          <w:bCs/>
          <w:color w:val="00204F"/>
          <w:sz w:val="24"/>
          <w:szCs w:val="24"/>
        </w:rPr>
        <w:t>8) Przeciwdziałanie bezrobociu</w:t>
      </w:r>
    </w:p>
    <w:p>
      <w:pPr>
        <w:pStyle w:val="NormalWeb"/>
        <w:spacing w:lineRule="auto" w:line="360" w:before="280" w:after="280"/>
        <w:jc w:val="both"/>
        <w:rPr>
          <w:rFonts w:ascii="Arial" w:hAnsi="Arial" w:cs="Arial"/>
        </w:rPr>
      </w:pPr>
      <w:r>
        <w:rPr>
          <w:rStyle w:val="Strong"/>
          <w:rFonts w:eastAsia="" w:cs="Arial" w:ascii="Arial" w:hAnsi="Arial" w:eastAsiaTheme="majorEastAsia"/>
        </w:rPr>
        <w:t>Cel:</w:t>
      </w:r>
      <w:r>
        <w:rPr>
          <w:rFonts w:cs="Arial" w:ascii="Arial" w:hAnsi="Arial"/>
        </w:rPr>
        <w:br/>
        <w:t>Aktywizacja zawodowa osób bezrobotnych i biernych zawodowo, wzrost zatrudnienia i przedsiębiorczości.</w:t>
      </w:r>
    </w:p>
    <w:p>
      <w:pPr>
        <w:pStyle w:val="NormalWeb"/>
        <w:spacing w:lineRule="auto" w:line="360" w:before="280" w:after="280"/>
        <w:jc w:val="both"/>
        <w:rPr>
          <w:rFonts w:ascii="Arial" w:hAnsi="Arial" w:cs="Arial"/>
        </w:rPr>
      </w:pPr>
      <w:r>
        <w:rPr>
          <w:rStyle w:val="Strong"/>
          <w:rFonts w:eastAsia="" w:cs="Arial" w:ascii="Arial" w:hAnsi="Arial" w:eastAsiaTheme="majorEastAsia"/>
        </w:rPr>
        <w:t>Identyfikowane potrzeby:</w:t>
      </w:r>
    </w:p>
    <w:p>
      <w:pPr>
        <w:pStyle w:val="NormalWeb"/>
        <w:numPr>
          <w:ilvl w:val="0"/>
          <w:numId w:val="67"/>
        </w:numPr>
        <w:spacing w:lineRule="auto" w:line="360" w:before="280" w:after="0"/>
        <w:jc w:val="left"/>
        <w:rPr>
          <w:rFonts w:ascii="Arial" w:hAnsi="Arial" w:cs="Arial"/>
        </w:rPr>
      </w:pPr>
      <w:r>
        <w:rPr>
          <w:rFonts w:cs="Arial" w:ascii="Arial" w:hAnsi="Arial"/>
        </w:rPr>
        <w:t>Szkolenia zawodowe i współpraca z lokalnymi pracodawcami.</w:t>
      </w:r>
    </w:p>
    <w:p>
      <w:pPr>
        <w:pStyle w:val="NormalWeb"/>
        <w:numPr>
          <w:ilvl w:val="0"/>
          <w:numId w:val="67"/>
        </w:numPr>
        <w:spacing w:lineRule="auto" w:line="360" w:before="0" w:after="0"/>
        <w:jc w:val="left"/>
        <w:rPr>
          <w:rFonts w:ascii="Arial" w:hAnsi="Arial" w:cs="Arial"/>
        </w:rPr>
      </w:pPr>
      <w:r>
        <w:rPr>
          <w:rFonts w:cs="Arial" w:ascii="Arial" w:hAnsi="Arial"/>
        </w:rPr>
        <w:t>Programy stażowe i prace społecznie użyteczne.</w:t>
      </w:r>
    </w:p>
    <w:p>
      <w:pPr>
        <w:pStyle w:val="NormalWeb"/>
        <w:numPr>
          <w:ilvl w:val="0"/>
          <w:numId w:val="67"/>
        </w:numPr>
        <w:spacing w:lineRule="auto" w:line="360" w:before="0" w:after="0"/>
        <w:jc w:val="left"/>
        <w:rPr/>
      </w:pPr>
      <w:r>
        <w:rPr>
          <w:rFonts w:cs="Arial" w:ascii="Arial" w:hAnsi="Arial"/>
        </w:rPr>
        <w:t>Wsparcie dla osób długotrwale bezrobotnych i niskowykwalifikowanych</w:t>
      </w:r>
      <w:r>
        <w:rPr/>
        <w:t>.</w:t>
      </w:r>
    </w:p>
    <w:p>
      <w:pPr>
        <w:pStyle w:val="NormalWeb"/>
        <w:numPr>
          <w:ilvl w:val="0"/>
          <w:numId w:val="67"/>
        </w:numPr>
        <w:spacing w:lineRule="auto" w:line="360" w:before="0" w:after="280"/>
        <w:jc w:val="left"/>
        <w:rPr>
          <w:rFonts w:ascii="Arial" w:hAnsi="Arial" w:cs="Arial"/>
        </w:rPr>
      </w:pPr>
      <w:r>
        <w:rPr>
          <w:rFonts w:cs="Arial" w:ascii="Arial" w:hAnsi="Arial"/>
        </w:rPr>
        <w:t xml:space="preserve">Reintegracja społeczno-zawodowa. </w:t>
      </w:r>
    </w:p>
    <w:p>
      <w:pPr>
        <w:pStyle w:val="Heading2"/>
        <w:spacing w:lineRule="auto" w:line="360"/>
        <w:jc w:val="left"/>
        <w:rPr>
          <w:rFonts w:ascii="Arial" w:hAnsi="Arial" w:cs="Arial"/>
          <w:b/>
          <w:bCs/>
          <w:color w:val="00204F"/>
          <w:sz w:val="24"/>
          <w:szCs w:val="24"/>
        </w:rPr>
      </w:pPr>
      <w:r>
        <w:rPr>
          <w:rFonts w:cs="Arial" w:ascii="Arial" w:hAnsi="Arial"/>
          <w:b/>
          <w:bCs/>
          <w:color w:val="00204F"/>
          <w:sz w:val="24"/>
          <w:szCs w:val="24"/>
        </w:rPr>
        <w:t>9) Kultura</w:t>
      </w:r>
    </w:p>
    <w:p>
      <w:pPr>
        <w:pStyle w:val="NormalWeb"/>
        <w:spacing w:lineRule="auto" w:line="360" w:before="280" w:after="280"/>
        <w:jc w:val="left"/>
        <w:rPr>
          <w:rFonts w:ascii="Arial" w:hAnsi="Arial" w:cs="Arial"/>
        </w:rPr>
      </w:pPr>
      <w:r>
        <w:rPr>
          <w:rStyle w:val="Strong"/>
          <w:rFonts w:eastAsia="" w:cs="Arial" w:ascii="Arial" w:hAnsi="Arial" w:eastAsiaTheme="majorEastAsia"/>
        </w:rPr>
        <w:t>Cel:</w:t>
      </w:r>
      <w:r>
        <w:rPr>
          <w:rFonts w:cs="Arial" w:ascii="Arial" w:hAnsi="Arial"/>
        </w:rPr>
        <w:br/>
        <w:t>Rozwijanie tożsamości lokalnej, uczestnictwa w kulturze, integracja społeczna poprzez kulturę.</w:t>
      </w:r>
    </w:p>
    <w:p>
      <w:pPr>
        <w:pStyle w:val="NormalWeb"/>
        <w:spacing w:lineRule="auto" w:line="360" w:before="280" w:after="280"/>
        <w:jc w:val="left"/>
        <w:rPr>
          <w:rFonts w:ascii="Arial" w:hAnsi="Arial" w:cs="Arial"/>
        </w:rPr>
      </w:pPr>
      <w:r>
        <w:rPr>
          <w:rStyle w:val="Strong"/>
          <w:rFonts w:eastAsia="" w:cs="Arial" w:ascii="Arial" w:hAnsi="Arial" w:eastAsiaTheme="majorEastAsia"/>
        </w:rPr>
        <w:t>Identyfikowane potrzeby:</w:t>
      </w:r>
    </w:p>
    <w:p>
      <w:pPr>
        <w:pStyle w:val="NormalWeb"/>
        <w:numPr>
          <w:ilvl w:val="0"/>
          <w:numId w:val="68"/>
        </w:numPr>
        <w:spacing w:lineRule="auto" w:line="360" w:before="280" w:after="0"/>
        <w:jc w:val="left"/>
        <w:rPr>
          <w:rFonts w:ascii="Arial" w:hAnsi="Arial" w:cs="Arial"/>
        </w:rPr>
      </w:pPr>
      <w:r>
        <w:rPr>
          <w:rFonts w:cs="Arial" w:ascii="Arial" w:hAnsi="Arial"/>
        </w:rPr>
        <w:t>Dostęp do oferty kulturalnej w sołectwach (nie tylko w mieście).</w:t>
      </w:r>
    </w:p>
    <w:p>
      <w:pPr>
        <w:pStyle w:val="NormalWeb"/>
        <w:numPr>
          <w:ilvl w:val="0"/>
          <w:numId w:val="68"/>
        </w:numPr>
        <w:spacing w:lineRule="auto" w:line="360" w:before="0" w:after="0"/>
        <w:jc w:val="left"/>
        <w:rPr>
          <w:rFonts w:ascii="Arial" w:hAnsi="Arial" w:cs="Arial"/>
        </w:rPr>
      </w:pPr>
      <w:r>
        <w:rPr>
          <w:rFonts w:cs="Arial" w:ascii="Arial" w:hAnsi="Arial"/>
        </w:rPr>
        <w:t>Wsparcie lokalnych zespołów, klubów i inicjatyw twórczych.</w:t>
      </w:r>
    </w:p>
    <w:p>
      <w:pPr>
        <w:pStyle w:val="NormalWeb"/>
        <w:numPr>
          <w:ilvl w:val="0"/>
          <w:numId w:val="68"/>
        </w:numPr>
        <w:spacing w:lineRule="auto" w:line="360" w:before="0" w:after="0"/>
        <w:jc w:val="left"/>
        <w:rPr>
          <w:rFonts w:ascii="Arial" w:hAnsi="Arial" w:cs="Arial"/>
        </w:rPr>
      </w:pPr>
      <w:r>
        <w:rPr>
          <w:rFonts w:cs="Arial" w:ascii="Arial" w:hAnsi="Arial"/>
        </w:rPr>
        <w:t>Organizacja wydarzeń integracyjnych i międzypokoleniowych.</w:t>
      </w:r>
    </w:p>
    <w:p>
      <w:pPr>
        <w:pStyle w:val="NormalWeb"/>
        <w:numPr>
          <w:ilvl w:val="0"/>
          <w:numId w:val="68"/>
        </w:numPr>
        <w:spacing w:lineRule="auto" w:line="360" w:before="0" w:after="280"/>
        <w:jc w:val="left"/>
        <w:rPr>
          <w:rFonts w:ascii="Arial" w:hAnsi="Arial" w:cs="Arial"/>
        </w:rPr>
      </w:pPr>
      <w:r>
        <w:rPr>
          <w:rFonts w:cs="Arial" w:ascii="Arial" w:hAnsi="Arial"/>
        </w:rPr>
        <w:t>Działania kulturalno-edukacyjne włączające osoby zagrożone wykluczeniem, z niepełnosprawności.</w:t>
      </w:r>
    </w:p>
    <w:p>
      <w:pPr>
        <w:pStyle w:val="Heading2"/>
        <w:spacing w:lineRule="auto" w:line="360"/>
        <w:jc w:val="left"/>
        <w:rPr>
          <w:rFonts w:ascii="Arial" w:hAnsi="Arial" w:cs="Arial"/>
          <w:b/>
          <w:bCs/>
          <w:color w:val="00204F"/>
          <w:sz w:val="24"/>
          <w:szCs w:val="24"/>
        </w:rPr>
      </w:pPr>
      <w:r>
        <w:rPr>
          <w:rFonts w:cs="Arial" w:ascii="Arial" w:hAnsi="Arial"/>
          <w:b/>
          <w:bCs/>
          <w:color w:val="00204F"/>
          <w:sz w:val="24"/>
          <w:szCs w:val="24"/>
        </w:rPr>
        <w:t>10) Kultura fizyczna i turystyka</w:t>
      </w:r>
    </w:p>
    <w:p>
      <w:pPr>
        <w:pStyle w:val="NormalWeb"/>
        <w:spacing w:lineRule="auto" w:line="360" w:before="280" w:after="280"/>
        <w:jc w:val="left"/>
        <w:rPr>
          <w:rFonts w:ascii="Arial" w:hAnsi="Arial" w:cs="Arial"/>
        </w:rPr>
      </w:pPr>
      <w:r>
        <w:rPr>
          <w:rStyle w:val="Strong"/>
          <w:rFonts w:eastAsia="" w:cs="Arial" w:ascii="Arial" w:hAnsi="Arial" w:eastAsiaTheme="majorEastAsia"/>
        </w:rPr>
        <w:t>Cel:</w:t>
      </w:r>
      <w:r>
        <w:rPr>
          <w:rFonts w:cs="Arial" w:ascii="Arial" w:hAnsi="Arial"/>
        </w:rPr>
        <w:br/>
        <w:t>Promocja aktywnego trybu życia, integracja społeczna poprzez sport i rekreację, wykorzystanie potencjału turystycznego regionu.</w:t>
      </w:r>
    </w:p>
    <w:p>
      <w:pPr>
        <w:pStyle w:val="NormalWeb"/>
        <w:spacing w:lineRule="auto" w:line="360" w:before="280" w:after="280"/>
        <w:jc w:val="left"/>
        <w:rPr>
          <w:rFonts w:ascii="Arial" w:hAnsi="Arial" w:cs="Arial"/>
        </w:rPr>
      </w:pPr>
      <w:r>
        <w:rPr>
          <w:rStyle w:val="Strong"/>
          <w:rFonts w:eastAsia="" w:cs="Arial" w:ascii="Arial" w:hAnsi="Arial" w:eastAsiaTheme="majorEastAsia"/>
        </w:rPr>
        <w:t>Identyfikowane potrzeby:</w:t>
      </w:r>
    </w:p>
    <w:p>
      <w:pPr>
        <w:pStyle w:val="NormalWeb"/>
        <w:numPr>
          <w:ilvl w:val="0"/>
          <w:numId w:val="69"/>
        </w:numPr>
        <w:spacing w:lineRule="auto" w:line="360" w:before="280" w:after="0"/>
        <w:jc w:val="left"/>
        <w:rPr>
          <w:rFonts w:ascii="Arial" w:hAnsi="Arial" w:cs="Arial"/>
        </w:rPr>
      </w:pPr>
      <w:r>
        <w:rPr>
          <w:rFonts w:cs="Arial" w:ascii="Arial" w:hAnsi="Arial"/>
        </w:rPr>
        <w:t>Zajęcia usprawniające dla dzieci, młodzieży, seniorów, osób z niepełnosprawnościami.</w:t>
      </w:r>
    </w:p>
    <w:p>
      <w:pPr>
        <w:pStyle w:val="NormalWeb"/>
        <w:numPr>
          <w:ilvl w:val="0"/>
          <w:numId w:val="69"/>
        </w:numPr>
        <w:spacing w:lineRule="auto" w:line="360" w:before="0" w:after="0"/>
        <w:jc w:val="left"/>
        <w:rPr>
          <w:rFonts w:ascii="Arial" w:hAnsi="Arial" w:cs="Arial"/>
        </w:rPr>
      </w:pPr>
      <w:r>
        <w:rPr>
          <w:rFonts w:cs="Arial" w:ascii="Arial" w:hAnsi="Arial"/>
        </w:rPr>
        <w:t>Utrzymanie i rozwój infrastruktury sportowej ( w tym: boiska, lodowiska ścieżki rowerowe).</w:t>
      </w:r>
    </w:p>
    <w:p>
      <w:pPr>
        <w:pStyle w:val="NormalWeb"/>
        <w:numPr>
          <w:ilvl w:val="0"/>
          <w:numId w:val="69"/>
        </w:numPr>
        <w:spacing w:lineRule="auto" w:line="360" w:before="0" w:after="0"/>
        <w:jc w:val="left"/>
        <w:rPr>
          <w:rFonts w:ascii="Arial" w:hAnsi="Arial" w:cs="Arial"/>
        </w:rPr>
      </w:pPr>
      <w:r>
        <w:rPr>
          <w:rFonts w:cs="Arial" w:ascii="Arial" w:hAnsi="Arial"/>
        </w:rPr>
        <w:t>Promowanie turystyki lokalnej i ekologicznej.</w:t>
      </w:r>
    </w:p>
    <w:p>
      <w:pPr>
        <w:pStyle w:val="NormalWeb"/>
        <w:numPr>
          <w:ilvl w:val="0"/>
          <w:numId w:val="69"/>
        </w:numPr>
        <w:spacing w:lineRule="auto" w:line="360" w:before="0" w:after="280"/>
        <w:jc w:val="left"/>
        <w:rPr>
          <w:rFonts w:ascii="Arial" w:hAnsi="Arial" w:cs="Arial"/>
        </w:rPr>
      </w:pPr>
      <w:r>
        <w:rPr>
          <w:rFonts w:cs="Arial" w:ascii="Arial" w:hAnsi="Arial"/>
        </w:rPr>
        <w:t>Działania  profilaktyczno-rekreacyjne w sołectwach (warsztaty plenerowe rajdy, spacery, kluby seniora).</w:t>
      </w:r>
    </w:p>
    <w:p>
      <w:pPr>
        <w:pStyle w:val="Heading2"/>
        <w:spacing w:lineRule="auto" w:line="360"/>
        <w:jc w:val="left"/>
        <w:rPr>
          <w:rFonts w:ascii="Arial" w:hAnsi="Arial" w:cs="Arial"/>
          <w:b/>
          <w:bCs/>
          <w:color w:val="00204F"/>
          <w:sz w:val="24"/>
          <w:szCs w:val="24"/>
        </w:rPr>
      </w:pPr>
      <w:r>
        <w:rPr>
          <w:rFonts w:cs="Arial" w:ascii="Arial" w:hAnsi="Arial"/>
          <w:b/>
          <w:bCs/>
          <w:color w:val="00204F"/>
          <w:sz w:val="24"/>
          <w:szCs w:val="24"/>
        </w:rPr>
        <w:t>11) Pobudzanie aktywności obywatelskiej</w:t>
      </w:r>
    </w:p>
    <w:p>
      <w:pPr>
        <w:pStyle w:val="NormalWeb"/>
        <w:spacing w:lineRule="auto" w:line="360" w:before="280" w:after="280"/>
        <w:jc w:val="left"/>
        <w:rPr>
          <w:rFonts w:ascii="Arial" w:hAnsi="Arial" w:cs="Arial"/>
        </w:rPr>
      </w:pPr>
      <w:r>
        <w:rPr>
          <w:rStyle w:val="Strong"/>
          <w:rFonts w:eastAsia="" w:cs="Arial" w:ascii="Arial" w:hAnsi="Arial" w:eastAsiaTheme="majorEastAsia"/>
        </w:rPr>
        <w:t>Cel:</w:t>
      </w:r>
      <w:r>
        <w:rPr>
          <w:rFonts w:cs="Arial" w:ascii="Arial" w:hAnsi="Arial"/>
        </w:rPr>
        <w:br/>
        <w:t>Budowanie społeczeństwa obywatelskiego, rozwój wolontariatu, włączanie mieszkańców w decyzje lokalne.</w:t>
      </w:r>
    </w:p>
    <w:p>
      <w:pPr>
        <w:pStyle w:val="NormalWeb"/>
        <w:spacing w:lineRule="auto" w:line="360" w:before="280" w:after="280"/>
        <w:jc w:val="left"/>
        <w:rPr>
          <w:rFonts w:ascii="Arial" w:hAnsi="Arial" w:cs="Arial"/>
        </w:rPr>
      </w:pPr>
      <w:r>
        <w:rPr>
          <w:rStyle w:val="Strong"/>
          <w:rFonts w:eastAsia="" w:cs="Arial" w:ascii="Arial" w:hAnsi="Arial" w:eastAsiaTheme="majorEastAsia"/>
        </w:rPr>
        <w:t>Identyfikowane potrzeby:</w:t>
      </w:r>
    </w:p>
    <w:p>
      <w:pPr>
        <w:pStyle w:val="NormalWeb"/>
        <w:numPr>
          <w:ilvl w:val="0"/>
          <w:numId w:val="70"/>
        </w:numPr>
        <w:spacing w:lineRule="auto" w:line="360" w:before="280" w:after="0"/>
        <w:jc w:val="left"/>
        <w:rPr>
          <w:rFonts w:ascii="Arial" w:hAnsi="Arial" w:cs="Arial"/>
        </w:rPr>
      </w:pPr>
      <w:r>
        <w:rPr>
          <w:rFonts w:cs="Arial" w:ascii="Arial" w:hAnsi="Arial"/>
        </w:rPr>
        <w:t>Wydarzenia w obszarze organizacji społeczności lokalnej.</w:t>
      </w:r>
    </w:p>
    <w:p>
      <w:pPr>
        <w:pStyle w:val="NormalWeb"/>
        <w:numPr>
          <w:ilvl w:val="0"/>
          <w:numId w:val="70"/>
        </w:numPr>
        <w:spacing w:lineRule="auto" w:line="360" w:before="0" w:after="0"/>
        <w:jc w:val="left"/>
        <w:rPr>
          <w:rFonts w:ascii="Arial" w:hAnsi="Arial" w:cs="Arial"/>
        </w:rPr>
      </w:pPr>
      <w:r>
        <w:rPr>
          <w:rFonts w:cs="Arial" w:ascii="Arial" w:hAnsi="Arial"/>
        </w:rPr>
        <w:t>Wsparcie dla organizacji pozarządowych.</w:t>
      </w:r>
    </w:p>
    <w:p>
      <w:pPr>
        <w:pStyle w:val="NormalWeb"/>
        <w:numPr>
          <w:ilvl w:val="0"/>
          <w:numId w:val="70"/>
        </w:numPr>
        <w:spacing w:lineRule="auto" w:line="360" w:before="0" w:after="0"/>
        <w:jc w:val="left"/>
        <w:rPr>
          <w:rFonts w:ascii="Arial" w:hAnsi="Arial" w:cs="Arial"/>
        </w:rPr>
      </w:pPr>
      <w:r>
        <w:rPr>
          <w:rFonts w:cs="Arial" w:ascii="Arial" w:hAnsi="Arial"/>
        </w:rPr>
        <w:t>Rozwój wolontariatu lokalnego.</w:t>
      </w:r>
    </w:p>
    <w:p>
      <w:pPr>
        <w:pStyle w:val="NormalWeb"/>
        <w:numPr>
          <w:ilvl w:val="0"/>
          <w:numId w:val="70"/>
        </w:numPr>
        <w:spacing w:lineRule="auto" w:line="360" w:before="0" w:after="0"/>
        <w:jc w:val="left"/>
        <w:rPr>
          <w:rFonts w:ascii="Arial" w:hAnsi="Arial" w:cs="Arial"/>
        </w:rPr>
      </w:pPr>
      <w:r>
        <w:rPr>
          <w:rFonts w:cs="Arial" w:ascii="Arial" w:hAnsi="Arial"/>
        </w:rPr>
        <w:t>Wzmocnienie komunikacji między mieszkańcami a samorządem.</w:t>
      </w:r>
    </w:p>
    <w:p>
      <w:pPr>
        <w:pStyle w:val="NormalWeb"/>
        <w:numPr>
          <w:ilvl w:val="0"/>
          <w:numId w:val="70"/>
        </w:numPr>
        <w:spacing w:lineRule="auto" w:line="360" w:before="0" w:after="280"/>
        <w:jc w:val="left"/>
        <w:rPr/>
      </w:pPr>
      <w:r>
        <w:rPr>
          <w:rFonts w:cs="Arial" w:ascii="Arial" w:hAnsi="Arial"/>
        </w:rPr>
        <w:t>Tworzenie przestrzeni do spotkań i działań wspólnotowych</w:t>
      </w:r>
      <w:r>
        <w:rPr/>
        <w:t>.</w:t>
      </w:r>
    </w:p>
    <w:p>
      <w:pPr>
        <w:pStyle w:val="Normal"/>
        <w:numPr>
          <w:ilvl w:val="0"/>
          <w:numId w:val="0"/>
        </w:numPr>
        <w:spacing w:lineRule="auto" w:line="360" w:beforeAutospacing="1" w:afterAutospacing="1"/>
        <w:ind w:hanging="0" w:left="0"/>
        <w:jc w:val="left"/>
        <w:outlineLvl w:val="1"/>
        <w:rPr>
          <w:rFonts w:ascii="Arial" w:hAnsi="Arial" w:eastAsia="Times New Roman" w:cs="Arial"/>
          <w:b/>
          <w:bCs/>
          <w:color w:val="00204F"/>
          <w:kern w:val="0"/>
          <w:lang w:eastAsia="pl-PL"/>
          <w14:ligatures w14:val="none"/>
        </w:rPr>
      </w:pPr>
      <w:r>
        <w:rPr>
          <w:rFonts w:eastAsia="Times New Roman" w:cs="Arial" w:ascii="Arial" w:hAnsi="Arial"/>
          <w:b/>
          <w:bCs/>
          <w:color w:val="00204F"/>
          <w:kern w:val="0"/>
          <w:lang w:eastAsia="pl-PL"/>
          <w14:ligatures w14:val="none"/>
        </w:rPr>
        <w:t>12) Mieszkalnictwo</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Cel:</w:t>
      </w:r>
      <w:r>
        <w:rPr>
          <w:rFonts w:eastAsia="Times New Roman" w:cs="Arial" w:ascii="Arial" w:hAnsi="Arial"/>
          <w:kern w:val="0"/>
          <w:lang w:eastAsia="pl-PL"/>
          <w14:ligatures w14:val="none"/>
        </w:rPr>
        <w:br/>
        <w:t>Zaspokojenie potrzeb mieszkaniowych osób o niskich dochodach, przeciwdziałanie bezdomności, poprawa warunków bytowych.</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Identyfikowane potrzeby:</w:t>
      </w:r>
    </w:p>
    <w:p>
      <w:pPr>
        <w:pStyle w:val="Normal"/>
        <w:numPr>
          <w:ilvl w:val="0"/>
          <w:numId w:val="71"/>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Rozwój sieci mieszkań wspomaganych i treningowych</w:t>
      </w:r>
    </w:p>
    <w:p>
      <w:pPr>
        <w:pStyle w:val="Normal"/>
        <w:numPr>
          <w:ilvl w:val="0"/>
          <w:numId w:val="71"/>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Wsparcie osób zagrożonych eksmisją.</w:t>
      </w:r>
    </w:p>
    <w:p>
      <w:pPr>
        <w:pStyle w:val="Normal"/>
        <w:numPr>
          <w:ilvl w:val="0"/>
          <w:numId w:val="71"/>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Doradztwo w zakresie utrzymania mieszkań i budżetu domowego.</w:t>
      </w:r>
    </w:p>
    <w:p>
      <w:pPr>
        <w:pStyle w:val="Normal"/>
        <w:numPr>
          <w:ilvl w:val="0"/>
          <w:numId w:val="71"/>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Wdrożenie procesu budownictwa społecznego </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Times New Roman" w:ascii="Times New Roman" w:hAnsi="Times New Roman"/>
          <w:b/>
          <w:bCs/>
          <w:kern w:val="0"/>
          <w:sz w:val="36"/>
          <w:szCs w:val="36"/>
          <w:lang w:eastAsia="pl-PL"/>
          <w14:ligatures w14:val="none"/>
        </w:rPr>
        <w:t xml:space="preserve"> </w:t>
      </w:r>
      <w:r>
        <w:rPr>
          <w:rFonts w:eastAsia="Times New Roman" w:cs="Arial" w:ascii="Arial" w:hAnsi="Arial"/>
          <w:b/>
          <w:bCs/>
          <w:kern w:val="0"/>
          <w:lang w:eastAsia="pl-PL"/>
          <w14:ligatures w14:val="none"/>
        </w:rPr>
        <w:t>13) Ochrona środowiska</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Cel:</w:t>
      </w:r>
      <w:r>
        <w:rPr>
          <w:rFonts w:eastAsia="Times New Roman" w:cs="Arial" w:ascii="Arial" w:hAnsi="Arial"/>
          <w:kern w:val="0"/>
          <w:lang w:eastAsia="pl-PL"/>
          <w14:ligatures w14:val="none"/>
        </w:rPr>
        <w:br/>
        <w:t>Kształtowanie postaw proekologicznych, ochrona zasobów naturalnych, angażowanie społeczności w działania na rzecz środowiska.</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Identyfikowane potrzeby:</w:t>
      </w:r>
    </w:p>
    <w:p>
      <w:pPr>
        <w:pStyle w:val="Normal"/>
        <w:numPr>
          <w:ilvl w:val="0"/>
          <w:numId w:val="72"/>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Edukacja ekologiczna w szkołach i społecznościach lokalnych.</w:t>
      </w:r>
    </w:p>
    <w:p>
      <w:pPr>
        <w:pStyle w:val="Normal"/>
        <w:numPr>
          <w:ilvl w:val="0"/>
          <w:numId w:val="72"/>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Akcje sprzątania, nasadzenia drzew, segregacja odpadów.</w:t>
      </w:r>
    </w:p>
    <w:p>
      <w:pPr>
        <w:pStyle w:val="Normal"/>
        <w:numPr>
          <w:ilvl w:val="0"/>
          <w:numId w:val="72"/>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Promowanie odnawialnych źródeł energii i oszczędzania zasobów.</w:t>
      </w:r>
    </w:p>
    <w:p>
      <w:pPr>
        <w:pStyle w:val="Normal"/>
        <w:numPr>
          <w:ilvl w:val="0"/>
          <w:numId w:val="72"/>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Łączenie działań ekologicznych z integracją społeczną.</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 xml:space="preserve"> </w:t>
      </w:r>
      <w:r>
        <w:rPr>
          <w:rFonts w:eastAsia="Times New Roman" w:cs="Arial" w:ascii="Arial" w:hAnsi="Arial"/>
          <w:b/>
          <w:bCs/>
          <w:color w:val="00204F"/>
          <w:kern w:val="0"/>
          <w:lang w:eastAsia="pl-PL"/>
          <w14:ligatures w14:val="none"/>
        </w:rPr>
        <w:t>14) Reintegracja zawodowa i społeczna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Cel:</w:t>
      </w:r>
      <w:r>
        <w:rPr>
          <w:rFonts w:eastAsia="Times New Roman" w:cs="Arial" w:ascii="Arial" w:hAnsi="Arial"/>
          <w:kern w:val="0"/>
          <w:lang w:eastAsia="pl-PL"/>
          <w14:ligatures w14:val="none"/>
        </w:rPr>
        <w:br/>
        <w:t>Przywracanie zdolności do pełnienia ról społecznych i zawodowych osobom wykluczonym (w kryzysie bezdomności, uzależnionym, po odbyciu kary pozbawienia , długotrwale bezrobotnym).</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Identyfikowane potrzeby:</w:t>
      </w:r>
    </w:p>
    <w:p>
      <w:pPr>
        <w:pStyle w:val="Normal"/>
        <w:numPr>
          <w:ilvl w:val="0"/>
          <w:numId w:val="73"/>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Indywidualne programy reintegracji (warsztaty, wsparcie psychologa, terapeuty).</w:t>
      </w:r>
    </w:p>
    <w:p>
      <w:pPr>
        <w:pStyle w:val="Normal"/>
        <w:numPr>
          <w:ilvl w:val="0"/>
          <w:numId w:val="7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Współpraca z podmiotami ekonomii społecznej i PUP.</w:t>
      </w:r>
    </w:p>
    <w:p>
      <w:pPr>
        <w:pStyle w:val="Normal"/>
        <w:numPr>
          <w:ilvl w:val="0"/>
          <w:numId w:val="7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Wsparcie w odbudowie relacji rodzinnych i społecznych.</w:t>
      </w:r>
    </w:p>
    <w:p>
      <w:pPr>
        <w:pStyle w:val="Normal"/>
        <w:numPr>
          <w:ilvl w:val="0"/>
          <w:numId w:val="7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Działania łączące aktywizację zawodową z pomocą społeczną.</w:t>
      </w:r>
    </w:p>
    <w:p>
      <w:pPr>
        <w:pStyle w:val="Normal"/>
        <w:numPr>
          <w:ilvl w:val="0"/>
          <w:numId w:val="73"/>
        </w:numPr>
        <w:spacing w:lineRule="auto" w:line="360" w:before="0" w:after="0"/>
        <w:jc w:val="left"/>
        <w:rPr>
          <w:rFonts w:ascii="Arial" w:hAnsi="Arial" w:eastAsia="Times New Roman" w:cs="Arial"/>
          <w:kern w:val="0"/>
          <w:lang w:eastAsia="pl-PL"/>
          <w14:ligatures w14:val="none"/>
        </w:rPr>
      </w:pPr>
      <w:r>
        <w:rPr>
          <w:rFonts w:cs="Arial" w:ascii="Arial" w:hAnsi="Arial"/>
        </w:rPr>
        <w:t>Stretworking- aktywna praca środowiskowej ukierunkowana na docieranie do osób zagrożonych wykluczeniem społecznym i zawodowym w ich naturalnym środowisku</w:t>
      </w:r>
      <w:r>
        <w:rPr>
          <w:rFonts w:eastAsia="Times New Roman" w:cs="Arial" w:ascii="Arial" w:hAnsi="Arial"/>
          <w:kern w:val="0"/>
          <w:lang w:eastAsia="pl-PL"/>
          <w14:ligatures w14:val="none"/>
        </w:rPr>
        <w:t>.</w:t>
      </w:r>
    </w:p>
    <w:p>
      <w:pPr>
        <w:pStyle w:val="Normal"/>
        <w:numPr>
          <w:ilvl w:val="0"/>
          <w:numId w:val="73"/>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Utworzenie spółdzielni socjalnej.</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Przeprowadzona diagnoza  wskazuje na wyraźną </w:t>
      </w:r>
      <w:r>
        <w:rPr>
          <w:rFonts w:eastAsia="Times New Roman" w:cs="Arial" w:ascii="Arial" w:hAnsi="Arial"/>
          <w:b/>
          <w:bCs/>
          <w:kern w:val="0"/>
          <w:lang w:eastAsia="pl-PL"/>
          <w14:ligatures w14:val="none"/>
        </w:rPr>
        <w:t>konieczność rozszerzenia, integracji i profesjonalizacji usług społecznych</w:t>
      </w:r>
      <w:r>
        <w:rPr>
          <w:rFonts w:eastAsia="Times New Roman" w:cs="Arial" w:ascii="Arial" w:hAnsi="Arial"/>
          <w:kern w:val="0"/>
          <w:lang w:eastAsia="pl-PL"/>
          <w14:ligatures w14:val="none"/>
        </w:rPr>
        <w:t xml:space="preserve"> w wielu dziedzinach określonych w art. 2 ustawy o realizowaniu usług społecznych przez centrum usług społecznych. Mieszkańcy oczekują nie tylko pomocy w sytuacjach kryzysowych, ale również usług wzmacniających, profilaktycznych, edukacyjnych i środowiskowych, które będą dostępne blisko miejsca zamieszkania, elastyczne i dostosowane do indywidualnych potrzeb.</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Obecne rozproszenie działań, ograniczone zasoby instytucjonalne i zmieniające się potrzeby demograficzne gminy sprawiają, że tradycyjny model pracy ośrodka pomocy społecznej wymaga transformacji. Przekształcenie OPS w Centrum Usług Społecznych stwarza możliwość stworzenia nowoczesnego systemu koordynacji wsparcia, który łączy usługi z różnych sektorów – społecznego, edukacyjnego, zdrowotnego, kulturalnego czy aktywizacyjnego – zgodnie z szerokim katalogiem obszarów wskazanych w art. 2 ustawy.</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Dzięki CUS gmina może wdrożyć model, który:</w:t>
      </w:r>
    </w:p>
    <w:p>
      <w:pPr>
        <w:pStyle w:val="Normal"/>
        <w:numPr>
          <w:ilvl w:val="0"/>
          <w:numId w:val="74"/>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zapewnia wieloobszarową, spójną i skoordynowaną ofertę usług,</w:t>
      </w:r>
    </w:p>
    <w:p>
      <w:pPr>
        <w:pStyle w:val="Normal"/>
        <w:numPr>
          <w:ilvl w:val="0"/>
          <w:numId w:val="74"/>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zwiększa dostępność specjalistycznego wsparcia,</w:t>
      </w:r>
    </w:p>
    <w:p>
      <w:pPr>
        <w:pStyle w:val="Normal"/>
        <w:numPr>
          <w:ilvl w:val="0"/>
          <w:numId w:val="74"/>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ułatwia identyfikację potrzeb mieszkańców poprzez stałą diagnozę, kontakt środowiskowy i narzędzia partycypacyjne,</w:t>
      </w:r>
    </w:p>
    <w:p>
      <w:pPr>
        <w:pStyle w:val="Normal"/>
        <w:numPr>
          <w:ilvl w:val="0"/>
          <w:numId w:val="74"/>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wzmacnia profilaktykę i działania środowiskowe, ograniczając konieczność interwencji i opieki instytucjonalnej,</w:t>
      </w:r>
    </w:p>
    <w:p>
      <w:pPr>
        <w:pStyle w:val="Normal"/>
        <w:numPr>
          <w:ilvl w:val="0"/>
          <w:numId w:val="74"/>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poprawia wizerunek instytucji publicznej, przekształcając OPS, kojarzony głównie z pomocą w kryzysie  w miejsce otwarte, przyjazne i dostępne dla wszystkich mieszkańców,</w:t>
      </w:r>
    </w:p>
    <w:p>
      <w:pPr>
        <w:pStyle w:val="Normal"/>
        <w:numPr>
          <w:ilvl w:val="0"/>
          <w:numId w:val="74"/>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tworzy przestrzeń do uczenia się przez całe życie, integracji społecznej i aktywizacji zawodowej,</w:t>
      </w:r>
    </w:p>
    <w:p>
      <w:pPr>
        <w:pStyle w:val="Normal"/>
        <w:numPr>
          <w:ilvl w:val="0"/>
          <w:numId w:val="74"/>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realizuje ideę deinstytucjonalizacji, wprowadzając usługi bliżej mieszkańców, do środowiska lokalnego i przestrzeni wiejskich.</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Zdiagnozowane potrzeby m.in. rozwój edukacji cyfrowej, wsparcia rodziny, działań profilaktycznych, streetworkingu, integracji międzypokoleniowej czy usług dla seniorów pokazują, że mieszkańcy Bychawy oczekują kompleksowego, nowoczesnego systemu wsparcia, który wychodzi poza tradycyjne rozumienie pomocy społecznej.</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Utworzenie CUS umożliwi zatem:</w:t>
      </w:r>
    </w:p>
    <w:p>
      <w:pPr>
        <w:pStyle w:val="Normal"/>
        <w:numPr>
          <w:ilvl w:val="0"/>
          <w:numId w:val="75"/>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budowę spersonalizowanego katalogu usług społecznych,</w:t>
      </w:r>
    </w:p>
    <w:p>
      <w:pPr>
        <w:pStyle w:val="Normal"/>
        <w:numPr>
          <w:ilvl w:val="0"/>
          <w:numId w:val="75"/>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prowadzenie zintegrowanej polityki usługowej,</w:t>
      </w:r>
    </w:p>
    <w:p>
      <w:pPr>
        <w:pStyle w:val="Normal"/>
        <w:numPr>
          <w:ilvl w:val="0"/>
          <w:numId w:val="75"/>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koordynację działań partnerów lokalnych,</w:t>
      </w:r>
    </w:p>
    <w:p>
      <w:pPr>
        <w:pStyle w:val="Normal"/>
        <w:numPr>
          <w:ilvl w:val="0"/>
          <w:numId w:val="75"/>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oparcie usług na faktycznych potrzebach mieszkańców,</w:t>
      </w:r>
    </w:p>
    <w:p>
      <w:pPr>
        <w:pStyle w:val="Normal"/>
        <w:numPr>
          <w:ilvl w:val="0"/>
          <w:numId w:val="75"/>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wzmocnienie roli gminy jako organizatora usług społecznych, a nie wyłącznie dostawcy świadczeń.</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efekcie transformacja OPS w CUS stanowi naturalny i konieczny krok w kierunku rozwoju lokalnej polityki społecznej, odpowiadający zarówno wymogom ustawy, jak i oczekiwaniom mieszkańców, a także współczesnym trendom w zakresie usług środowiskowych, aktywizujących i wspierających integrację społeczną.</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r>
    </w:p>
    <w:p>
      <w:pPr>
        <w:pStyle w:val="Heading1"/>
        <w:numPr>
          <w:ilvl w:val="0"/>
          <w:numId w:val="46"/>
        </w:numPr>
        <w:jc w:val="both"/>
        <w:rPr>
          <w:color w:val="00204F"/>
          <w:sz w:val="28"/>
          <w:szCs w:val="28"/>
        </w:rPr>
      </w:pPr>
      <w:bookmarkStart w:id="36" w:name="_Toc211356429"/>
      <w:r>
        <w:rPr>
          <w:color w:val="00204F"/>
          <w:sz w:val="28"/>
          <w:szCs w:val="28"/>
        </w:rPr>
        <w:t>Potencjał wspólnoty samorządowej Gminy Bychawa w zakresie organizacji usług społecznych dla mieszkańców</w:t>
      </w:r>
      <w:bookmarkEnd w:id="36"/>
    </w:p>
    <w:p>
      <w:pPr>
        <w:pStyle w:val="Normal"/>
        <w:jc w:val="both"/>
        <w:rPr/>
      </w:pPr>
      <w:r>
        <w:rPr/>
      </w:r>
    </w:p>
    <w:p>
      <w:pPr>
        <w:pStyle w:val="Normal"/>
        <w:spacing w:lineRule="auto" w:line="360"/>
        <w:ind w:firstLine="708"/>
        <w:jc w:val="both"/>
        <w:rPr>
          <w:rFonts w:ascii="Arial" w:hAnsi="Arial" w:cs="Arial"/>
        </w:rPr>
      </w:pPr>
      <w:r>
        <w:rPr>
          <w:rFonts w:cs="Arial" w:ascii="Arial" w:hAnsi="Arial"/>
        </w:rPr>
        <w:t xml:space="preserve">Potencjał wspólnoty samorządowej w zakresie organizacji i dostarczania usług społecznych stanowią jednostki organizacyjne gminy, organizacje pozarządowe </w:t>
        <w:br/>
        <w:t xml:space="preserve">i podmioty, o których mowa w art. 3 ust. 3 ustawy z dnia 24 kwietnia 2003r. o działalności pożytku publicznego i o wolontariacie. Potencjał mogą też wzbogacać osoby fizyczne i prawne, wykonujące usługi z zakresu, o którym mowa w art. 2 ust. 1 ustawy o organizowaniu usług w CUS, na obszarze działania centrum wraz ze wskazaniem wykonywanych przez nie usług. </w:t>
      </w:r>
    </w:p>
    <w:p>
      <w:pPr>
        <w:pStyle w:val="Normal"/>
        <w:spacing w:lineRule="auto" w:line="360"/>
        <w:ind w:firstLine="708"/>
        <w:jc w:val="both"/>
        <w:rPr>
          <w:rFonts w:ascii="Arial" w:hAnsi="Arial" w:cs="Arial"/>
        </w:rPr>
      </w:pPr>
      <w:r>
        <w:rPr>
          <w:rFonts w:cs="Arial" w:ascii="Arial" w:hAnsi="Arial"/>
        </w:rPr>
        <w:t xml:space="preserve">Diagnoza potencjału wspólnoty samorządowej Gminy Bychawa w zakresie organizacji usług społecznych dla mieszkańców na poziomie przygotowania do realizacji usług społecznych jest dość ograniczona, prezentuje bowiem podmioty znane, które zaznaczają swoją obecność w sferze społecznej, głównie poprzez realizację zadań statutowych. </w:t>
      </w:r>
    </w:p>
    <w:p>
      <w:pPr>
        <w:pStyle w:val="Normal"/>
        <w:spacing w:lineRule="auto" w:line="360"/>
        <w:ind w:firstLine="708"/>
        <w:jc w:val="both"/>
        <w:rPr>
          <w:rFonts w:ascii="Arial" w:hAnsi="Arial" w:cs="Arial"/>
        </w:rPr>
      </w:pPr>
      <w:r>
        <w:rPr>
          <w:rFonts w:cs="Arial" w:ascii="Arial" w:hAnsi="Arial"/>
        </w:rPr>
        <w:t xml:space="preserve">Podmioty składające się na potencjał społeczności lokalnej w zakresie organizowania usług społecznych prowadzące działalność na terenie gminy można pogrupować w trzy ogólne kategorie. Są to: </w:t>
      </w:r>
    </w:p>
    <w:p>
      <w:pPr>
        <w:pStyle w:val="Normal"/>
        <w:spacing w:lineRule="auto" w:line="360"/>
        <w:ind w:firstLine="708"/>
        <w:jc w:val="both"/>
        <w:rPr>
          <w:rFonts w:ascii="Arial" w:hAnsi="Arial" w:cs="Arial"/>
        </w:rPr>
      </w:pPr>
      <w:r>
        <w:rPr>
          <w:rFonts w:cs="Arial" w:ascii="Arial" w:hAnsi="Arial"/>
        </w:rPr>
        <w:t xml:space="preserve">•  </w:t>
      </w:r>
      <w:r>
        <w:rPr>
          <w:rFonts w:cs="Arial" w:ascii="Arial" w:hAnsi="Arial"/>
        </w:rPr>
        <w:t xml:space="preserve">jednostki organizacyjne samorządu terytorialnego, </w:t>
      </w:r>
    </w:p>
    <w:p>
      <w:pPr>
        <w:pStyle w:val="Normal"/>
        <w:spacing w:lineRule="auto" w:line="360"/>
        <w:ind w:firstLine="708"/>
        <w:jc w:val="both"/>
        <w:rPr>
          <w:rFonts w:ascii="Arial" w:hAnsi="Arial" w:cs="Arial"/>
        </w:rPr>
      </w:pPr>
      <w:r>
        <w:rPr>
          <w:rFonts w:cs="Arial" w:ascii="Arial" w:hAnsi="Arial"/>
        </w:rPr>
        <w:t xml:space="preserve">• </w:t>
      </w:r>
      <w:r>
        <w:rPr>
          <w:rFonts w:cs="Arial" w:ascii="Arial" w:hAnsi="Arial"/>
        </w:rPr>
        <w:t xml:space="preserve">organizacje pozarządowe oraz podmioty, o których mowa w art. 3 ust. 3 </w:t>
        <w:br/>
        <w:t xml:space="preserve">             ustawy o działalności pożytku publicznego, </w:t>
      </w:r>
    </w:p>
    <w:p>
      <w:pPr>
        <w:pStyle w:val="Normal"/>
        <w:spacing w:lineRule="auto" w:line="360"/>
        <w:ind w:firstLine="708"/>
        <w:jc w:val="both"/>
        <w:rPr>
          <w:rFonts w:ascii="Arial" w:hAnsi="Arial" w:cs="Arial"/>
        </w:rPr>
      </w:pPr>
      <w:r>
        <w:rPr>
          <w:rFonts w:cs="Arial" w:ascii="Arial" w:hAnsi="Arial"/>
        </w:rPr>
        <w:t xml:space="preserve">• </w:t>
      </w:r>
      <w:r>
        <w:rPr>
          <w:rFonts w:cs="Arial" w:ascii="Arial" w:hAnsi="Arial"/>
        </w:rPr>
        <w:t>osoby fizyczne i prawne, wykonujące usługi z zakresu, o którym mowa w art.</w:t>
        <w:br/>
        <w:t xml:space="preserve">             2 ust. 1 ustawy o CUS.</w:t>
      </w:r>
    </w:p>
    <w:p>
      <w:pPr>
        <w:pStyle w:val="Normal"/>
        <w:spacing w:lineRule="auto" w:line="360"/>
        <w:ind w:firstLine="708"/>
        <w:jc w:val="both"/>
        <w:rPr>
          <w:rFonts w:ascii="Arial" w:hAnsi="Arial" w:cs="Arial"/>
          <w:b/>
          <w:bCs/>
        </w:rPr>
      </w:pPr>
      <w:r>
        <w:rPr>
          <w:rFonts w:cs="Arial" w:ascii="Arial" w:hAnsi="Arial"/>
          <w:b/>
          <w:bCs/>
        </w:rPr>
        <w:t>Wśród podmiotów będących jednostkami organizacyjnymi samorządu należy wymienić:</w:t>
      </w:r>
    </w:p>
    <w:p>
      <w:pPr>
        <w:pStyle w:val="ListParagraph"/>
        <w:numPr>
          <w:ilvl w:val="0"/>
          <w:numId w:val="76"/>
        </w:numPr>
        <w:spacing w:lineRule="auto" w:line="360"/>
        <w:jc w:val="both"/>
        <w:rPr>
          <w:rFonts w:ascii="Arial" w:hAnsi="Arial" w:cs="Arial"/>
        </w:rPr>
      </w:pPr>
      <w:r>
        <w:rPr>
          <w:rFonts w:cs="Arial" w:ascii="Arial" w:hAnsi="Arial"/>
          <w:b/>
          <w:bCs/>
        </w:rPr>
        <w:t>Ośrodek Pomocy Społecznej w Bychawie</w:t>
      </w:r>
      <w:r>
        <w:rPr>
          <w:rFonts w:cs="Arial" w:ascii="Arial" w:hAnsi="Arial"/>
        </w:rPr>
        <w:t xml:space="preserve"> – będący dotychczas największym realizatorem i organizatorem usług społecznych, głównie usług określonych w przepisach o pomocy społecznej np. usług opiekuńczych, usług pobytu w domach pomocy społecznej o charakterze całodobowym oraz usług określonych w krajowych programach takich jak „pomoc wytchnieniowa” itp. Liczebność usług społecznych realizowanych przez Ośrodek Pomocy Społecznej na przestrzeni pięciu minionych lat pokazana jest w zestawieniu numer 2, w rozdziale numer 3.2 opisującym „Stan realizacji usług społecznych w Gminie Bychawa przed utworzeniem Centrum Usług Społecznych”. Ośrodek Pomocy Społecznej jest też koordynatorem rządowych programów osłonowych dla mieszkańców Gminy Bychawa wdrażanych we współpracy </w:t>
        <w:br/>
        <w:t xml:space="preserve">z administracją rządową. W ramach wykonywanych na rzecz mieszkańców działań Ośrodek - w miarę możliwości finansowych Gminy Bychawa i kadrowych OPS wspiera mieszkańców dotkniętych problemem ubóstwa, długotrwałych chorób, niepełnosprawności, problemów wychowawczych z dziećmi oraz problemów przemocy i uzależnień. </w:t>
      </w:r>
    </w:p>
    <w:p>
      <w:pPr>
        <w:pStyle w:val="ListParagraph"/>
        <w:spacing w:lineRule="auto" w:line="360"/>
        <w:jc w:val="both"/>
        <w:rPr>
          <w:rFonts w:ascii="Arial" w:hAnsi="Arial" w:cs="Arial"/>
        </w:rPr>
      </w:pPr>
      <w:r>
        <w:rPr>
          <w:rFonts w:cs="Arial" w:ascii="Arial" w:hAnsi="Arial"/>
        </w:rPr>
        <w:t xml:space="preserve">W realizacji usług dla mieszkańców Ośrodek współpracuje z Zespołem Interdyscyplinarnym ds. Przeciwdziałania Przemocy Domowej oraz Gminną Komisją Rozwiązywania Problemów Alkoholowych. </w:t>
      </w:r>
    </w:p>
    <w:p>
      <w:pPr>
        <w:pStyle w:val="ListParagraph"/>
        <w:spacing w:lineRule="auto" w:line="360"/>
        <w:jc w:val="both"/>
        <w:rPr>
          <w:rFonts w:ascii="Arial" w:hAnsi="Arial" w:cs="Arial"/>
        </w:rPr>
      </w:pPr>
      <w:r>
        <w:rPr>
          <w:rFonts w:cs="Arial" w:ascii="Arial" w:hAnsi="Arial"/>
        </w:rPr>
      </w:r>
    </w:p>
    <w:p>
      <w:pPr>
        <w:pStyle w:val="ListParagraph"/>
        <w:spacing w:lineRule="auto" w:line="360"/>
        <w:jc w:val="both"/>
        <w:rPr>
          <w:rFonts w:ascii="Arial" w:hAnsi="Arial" w:cs="Arial"/>
        </w:rPr>
      </w:pPr>
      <w:r>
        <w:rPr>
          <w:rFonts w:cs="Arial" w:ascii="Arial" w:hAnsi="Arial"/>
          <w:b/>
          <w:bCs/>
        </w:rPr>
        <w:t>Zespół Interdyscyplinarny ds. Przeciwdziałania Przemocy Domowej</w:t>
      </w:r>
      <w:r>
        <w:rPr>
          <w:rFonts w:cs="Arial" w:ascii="Arial" w:hAnsi="Arial"/>
        </w:rPr>
        <w:t xml:space="preserve"> działa w oparciu o przepisy ustawy z dnia </w:t>
      </w:r>
      <w:r>
        <w:rPr>
          <w:rStyle w:val="wtbs9"/>
          <w:rFonts w:cs="Arial" w:ascii="Arial" w:hAnsi="Arial"/>
        </w:rPr>
        <w:t xml:space="preserve">29 lipca 2005 roku o przeciwdziałaniu przemocy domowej, podejmując inicjatywy określone w ramach procedury „Niebieskie Karty” oraz działania w zakresie profilaktyki przemocy domowej. </w:t>
      </w:r>
      <w:r>
        <w:rPr>
          <w:rFonts w:eastAsia="Times New Roman" w:cs="Arial" w:ascii="Arial" w:hAnsi="Arial"/>
          <w:b/>
          <w:bCs/>
          <w:kern w:val="0"/>
          <w:lang w:eastAsia="pl-PL"/>
          <w14:ligatures w14:val="none"/>
        </w:rPr>
        <w:t>Gminna Komisja Rozwiązywania Problemów Alkoholowych w</w:t>
      </w:r>
      <w:r>
        <w:rPr>
          <w:rFonts w:eastAsia="Times New Roman" w:cs="Arial" w:ascii="Arial" w:hAnsi="Arial"/>
          <w:kern w:val="0"/>
          <w:lang w:eastAsia="pl-PL"/>
          <w14:ligatures w14:val="none"/>
        </w:rPr>
        <w:t xml:space="preserve"> Bychawie działa w oparciu o przepisy ustawy z dnia 26 października 1982 r. o wychowaniu w trzeźwości i przeciwdziałaniu alkoholizmowi. Od 1 Stycznia 2025 r. funkcjonuje w Ośrodku Pomocy Społecznej w Bychawie przy ul. Marszałka Józefa  Piłsudskiego 22.</w:t>
      </w:r>
    </w:p>
    <w:p>
      <w:pPr>
        <w:pStyle w:val="Normal"/>
        <w:spacing w:lineRule="auto" w:line="360"/>
        <w:jc w:val="both"/>
        <w:rPr>
          <w:rFonts w:ascii="Arial" w:hAnsi="Arial" w:cs="Arial"/>
        </w:rPr>
      </w:pPr>
      <w:r>
        <w:rPr>
          <w:rFonts w:eastAsia="Times New Roman" w:cs="Arial" w:ascii="Arial" w:hAnsi="Arial"/>
          <w:kern w:val="0"/>
          <w:lang w:eastAsia="pl-PL"/>
          <w14:ligatures w14:val="none"/>
        </w:rPr>
        <w:t xml:space="preserve">          </w:t>
      </w:r>
      <w:r>
        <w:rPr>
          <w:rFonts w:eastAsia="Times New Roman" w:cs="Arial" w:ascii="Arial" w:hAnsi="Arial"/>
          <w:kern w:val="0"/>
          <w:lang w:eastAsia="pl-PL"/>
          <w14:ligatures w14:val="none"/>
        </w:rPr>
        <w:t>Zakres działania komisji obejmuje między innymi:</w:t>
      </w:r>
    </w:p>
    <w:p>
      <w:pPr>
        <w:pStyle w:val="ListParagraph"/>
        <w:numPr>
          <w:ilvl w:val="0"/>
          <w:numId w:val="77"/>
        </w:numPr>
        <w:spacing w:lineRule="auto" w:line="360"/>
        <w:jc w:val="both"/>
        <w:rPr>
          <w:rFonts w:ascii="Arial" w:hAnsi="Arial" w:cs="Arial"/>
        </w:rPr>
      </w:pPr>
      <w:r>
        <w:rPr>
          <w:rFonts w:eastAsia="Times New Roman" w:cs="Arial" w:ascii="Arial" w:hAnsi="Arial"/>
          <w:kern w:val="0"/>
          <w:lang w:eastAsia="pl-PL"/>
          <w14:ligatures w14:val="none"/>
        </w:rPr>
        <w:t>przyjmowanie wniosków oraz wszczynanie postępowań w sprawie nadużywania alkoholu,</w:t>
      </w:r>
    </w:p>
    <w:p>
      <w:pPr>
        <w:pStyle w:val="ListParagraph"/>
        <w:numPr>
          <w:ilvl w:val="0"/>
          <w:numId w:val="77"/>
        </w:numPr>
        <w:spacing w:lineRule="auto" w:line="360"/>
        <w:jc w:val="both"/>
        <w:rPr>
          <w:rFonts w:ascii="Arial" w:hAnsi="Arial" w:cs="Arial"/>
        </w:rPr>
      </w:pPr>
      <w:r>
        <w:rPr>
          <w:rFonts w:eastAsia="Times New Roman" w:cs="Arial" w:ascii="Arial" w:hAnsi="Arial"/>
          <w:kern w:val="0"/>
          <w:lang w:eastAsia="pl-PL"/>
          <w14:ligatures w14:val="none"/>
        </w:rPr>
        <w:t xml:space="preserve">podejmowanie działań zmierzających do podjęcia leczenia odwykowego </w:t>
        <w:br/>
        <w:t xml:space="preserve">i wszczynanie postępowań wobec tych osób. W sprawach o nadużywanie alkoholu w związku z zaistnieniem przesłanki ustawowe tzn. rozkładu pożycia małżeńskiego, demoralizacji nieletnich lub zakłócania spokoju </w:t>
        <w:br/>
        <w:t>i porządku publicznego oraz po wyczerpaniu wszystkich możliwości podejmowanie działań zmierzających do orzeczenia przez Sąd, zastosowania wobec osoby uzależnionej od alkoholu obowiązku poddania się leczeniu w zakładzie lecznictwa odwykowego,</w:t>
      </w:r>
    </w:p>
    <w:p>
      <w:pPr>
        <w:pStyle w:val="ListParagraph"/>
        <w:numPr>
          <w:ilvl w:val="0"/>
          <w:numId w:val="77"/>
        </w:numPr>
        <w:spacing w:lineRule="auto" w:line="360"/>
        <w:jc w:val="both"/>
        <w:rPr>
          <w:rFonts w:ascii="Arial" w:hAnsi="Arial" w:cs="Arial"/>
        </w:rPr>
      </w:pPr>
      <w:r>
        <w:rPr>
          <w:rFonts w:eastAsia="Times New Roman" w:cs="Arial" w:ascii="Arial" w:hAnsi="Arial"/>
          <w:kern w:val="0"/>
          <w:lang w:eastAsia="pl-PL"/>
          <w14:ligatures w14:val="none"/>
        </w:rPr>
        <w:t xml:space="preserve">przeprowadzanie rozmów motywujących z osobami podejrzewanymi </w:t>
        <w:br/>
        <w:t>o nadużywanie alkoholu lub narkotyków oraz udzielanie pomocy osobom uzależnionym oraz ich rodzinom,</w:t>
      </w:r>
    </w:p>
    <w:p>
      <w:pPr>
        <w:pStyle w:val="ListParagraph"/>
        <w:numPr>
          <w:ilvl w:val="0"/>
          <w:numId w:val="77"/>
        </w:numPr>
        <w:spacing w:lineRule="auto" w:line="360"/>
        <w:jc w:val="both"/>
        <w:rPr>
          <w:rFonts w:ascii="Arial" w:hAnsi="Arial" w:cs="Arial"/>
        </w:rPr>
      </w:pPr>
      <w:r>
        <w:rPr>
          <w:rFonts w:eastAsia="Times New Roman" w:cs="Arial" w:ascii="Arial" w:hAnsi="Arial"/>
          <w:kern w:val="0"/>
          <w:lang w:eastAsia="pl-PL"/>
          <w14:ligatures w14:val="none"/>
        </w:rPr>
        <w:t xml:space="preserve">prowadzenie profilaktycznej działalności informacyjnej i edukacyjnej </w:t>
        <w:br/>
        <w:t>w zakresie problematyki uzależnień.</w:t>
      </w:r>
      <w:r>
        <w:rPr>
          <w:rFonts w:cs="Arial" w:ascii="Arial" w:hAnsi="Arial"/>
        </w:rPr>
        <w:t xml:space="preserve">   </w:t>
      </w:r>
    </w:p>
    <w:p>
      <w:pPr>
        <w:pStyle w:val="ListParagraph"/>
        <w:spacing w:lineRule="auto" w:line="360"/>
        <w:jc w:val="both"/>
        <w:rPr>
          <w:rFonts w:ascii="Arial" w:hAnsi="Arial" w:cs="Arial"/>
        </w:rPr>
      </w:pPr>
      <w:r>
        <w:rPr>
          <w:rFonts w:cs="Arial" w:ascii="Arial" w:hAnsi="Arial"/>
        </w:rPr>
      </w:r>
    </w:p>
    <w:p>
      <w:pPr>
        <w:pStyle w:val="ListParagraph"/>
        <w:numPr>
          <w:ilvl w:val="0"/>
          <w:numId w:val="76"/>
        </w:numPr>
        <w:spacing w:lineRule="auto" w:line="360"/>
        <w:jc w:val="both"/>
        <w:rPr>
          <w:rFonts w:ascii="Times New Roman" w:hAnsi="Times New Roman" w:eastAsia="Times New Roman" w:cs="Times New Roman"/>
          <w:b/>
          <w:bCs/>
          <w:kern w:val="0"/>
          <w:lang w:eastAsia="pl-PL"/>
          <w14:ligatures w14:val="none"/>
        </w:rPr>
      </w:pPr>
      <w:r>
        <w:rPr>
          <w:rFonts w:cs="Arial" w:ascii="Arial" w:hAnsi="Arial"/>
          <w:b/>
          <w:bCs/>
        </w:rPr>
        <w:t xml:space="preserve">Szkoły Podstawowe na terenie Gminy Bychawa w tym: </w:t>
      </w:r>
    </w:p>
    <w:p>
      <w:pPr>
        <w:pStyle w:val="ListParagraph"/>
        <w:numPr>
          <w:ilvl w:val="0"/>
          <w:numId w:val="78"/>
        </w:numPr>
        <w:spacing w:lineRule="auto" w:line="360"/>
        <w:jc w:val="both"/>
        <w:rPr>
          <w:rFonts w:ascii="Times New Roman" w:hAnsi="Times New Roman" w:eastAsia="Times New Roman" w:cs="Times New Roman"/>
          <w:kern w:val="0"/>
          <w:lang w:eastAsia="pl-PL"/>
          <w14:ligatures w14:val="none"/>
        </w:rPr>
      </w:pPr>
      <w:r>
        <w:rPr>
          <w:rFonts w:eastAsia="Times New Roman" w:cs="Arial" w:ascii="Arial" w:hAnsi="Arial"/>
          <w:kern w:val="0"/>
          <w:lang w:eastAsia="pl-PL"/>
          <w14:ligatures w14:val="none"/>
        </w:rPr>
        <w:t xml:space="preserve">Szkoła Podstawowa im. Kajetana Koźmiana w Bychawce (Bychawka Druga Kolonia 75), </w:t>
      </w:r>
    </w:p>
    <w:p>
      <w:pPr>
        <w:pStyle w:val="ListParagraph"/>
        <w:numPr>
          <w:ilvl w:val="0"/>
          <w:numId w:val="78"/>
        </w:numPr>
        <w:spacing w:lineRule="auto" w:line="360"/>
        <w:jc w:val="both"/>
        <w:rPr>
          <w:rFonts w:ascii="Times New Roman" w:hAnsi="Times New Roman" w:eastAsia="Times New Roman" w:cs="Times New Roman"/>
          <w:kern w:val="0"/>
          <w:lang w:eastAsia="pl-PL"/>
          <w14:ligatures w14:val="none"/>
        </w:rPr>
      </w:pPr>
      <w:r>
        <w:rPr>
          <w:rFonts w:eastAsia="Times New Roman" w:cs="Arial" w:ascii="Arial" w:hAnsi="Arial"/>
          <w:kern w:val="0"/>
          <w:lang w:eastAsia="pl-PL"/>
          <w14:ligatures w14:val="none"/>
        </w:rPr>
        <w:t xml:space="preserve">Szkoła Podstawowa w Starej Wsi Drugiej im. Franciszka Lebiedy (Stara Wieś Druga 55), </w:t>
      </w:r>
    </w:p>
    <w:p>
      <w:pPr>
        <w:pStyle w:val="ListParagraph"/>
        <w:numPr>
          <w:ilvl w:val="0"/>
          <w:numId w:val="78"/>
        </w:numPr>
        <w:spacing w:lineRule="auto" w:line="360"/>
        <w:jc w:val="both"/>
        <w:rPr>
          <w:rFonts w:ascii="Times New Roman" w:hAnsi="Times New Roman" w:eastAsia="Times New Roman" w:cs="Times New Roman"/>
          <w:kern w:val="0"/>
          <w:lang w:eastAsia="pl-PL"/>
          <w14:ligatures w14:val="none"/>
        </w:rPr>
      </w:pPr>
      <w:r>
        <w:rPr>
          <w:rFonts w:eastAsia="Times New Roman" w:cs="Arial" w:ascii="Arial" w:hAnsi="Arial"/>
          <w:kern w:val="0"/>
          <w:lang w:eastAsia="pl-PL"/>
          <w14:ligatures w14:val="none"/>
        </w:rPr>
        <w:t>Szkoła Podstawowa w Woli Gałęzowskiej im. Zofii Przewłockiej (Wola Gałęzowska 116a),</w:t>
      </w:r>
    </w:p>
    <w:p>
      <w:pPr>
        <w:pStyle w:val="ListParagraph"/>
        <w:numPr>
          <w:ilvl w:val="0"/>
          <w:numId w:val="78"/>
        </w:numPr>
        <w:spacing w:lineRule="auto" w:line="360"/>
        <w:jc w:val="both"/>
        <w:rPr>
          <w:rFonts w:ascii="Times New Roman" w:hAnsi="Times New Roman" w:eastAsia="Times New Roman" w:cs="Times New Roman"/>
          <w:kern w:val="0"/>
          <w:lang w:eastAsia="pl-PL"/>
          <w14:ligatures w14:val="none"/>
        </w:rPr>
      </w:pPr>
      <w:r>
        <w:rPr>
          <w:rFonts w:eastAsia="Times New Roman" w:cs="Arial" w:ascii="Arial" w:hAnsi="Arial"/>
          <w:kern w:val="0"/>
          <w:lang w:eastAsia="pl-PL"/>
          <w14:ligatures w14:val="none"/>
        </w:rPr>
        <w:t xml:space="preserve">Szkoła Podstawowa w Zaraszowie (Zaraszów 64). </w:t>
      </w:r>
    </w:p>
    <w:p>
      <w:pPr>
        <w:pStyle w:val="ListParagraph"/>
        <w:numPr>
          <w:ilvl w:val="0"/>
          <w:numId w:val="78"/>
        </w:numPr>
        <w:spacing w:lineRule="auto" w:line="360"/>
        <w:jc w:val="both"/>
        <w:rPr>
          <w:rFonts w:ascii="Times New Roman" w:hAnsi="Times New Roman" w:eastAsia="Times New Roman" w:cs="Times New Roman"/>
          <w:kern w:val="0"/>
          <w:lang w:eastAsia="pl-PL"/>
          <w14:ligatures w14:val="none"/>
        </w:rPr>
      </w:pPr>
      <w:r>
        <w:rPr>
          <w:rFonts w:eastAsia="Times New Roman" w:cs="Arial" w:ascii="Arial" w:hAnsi="Arial"/>
          <w:kern w:val="0"/>
          <w:lang w:eastAsia="pl-PL"/>
          <w14:ligatures w14:val="none"/>
        </w:rPr>
        <w:t>Szkoła Podstawowa w Bychawie przy ul. Szkolnej 8</w:t>
      </w:r>
      <w:r>
        <w:rPr>
          <w:rFonts w:eastAsia="Times New Roman" w:cs="Times New Roman" w:ascii="Times New Roman" w:hAnsi="Times New Roman"/>
          <w:kern w:val="0"/>
          <w:lang w:eastAsia="pl-PL"/>
          <w14:ligatures w14:val="none"/>
        </w:rPr>
        <w:t>. </w:t>
      </w:r>
    </w:p>
    <w:p>
      <w:pPr>
        <w:pStyle w:val="ListParagraph"/>
        <w:numPr>
          <w:ilvl w:val="0"/>
          <w:numId w:val="78"/>
        </w:numPr>
        <w:spacing w:lineRule="auto" w:line="360"/>
        <w:jc w:val="both"/>
        <w:rPr>
          <w:rFonts w:ascii="Times New Roman" w:hAnsi="Times New Roman" w:eastAsia="Times New Roman" w:cs="Times New Roman"/>
          <w:kern w:val="0"/>
          <w:lang w:eastAsia="pl-PL"/>
          <w14:ligatures w14:val="none"/>
        </w:rPr>
      </w:pPr>
      <w:hyperlink r:id="rId16">
        <w:r>
          <w:rPr>
            <w:rStyle w:val="Style"/>
            <w:rFonts w:eastAsia="Times New Roman" w:cs="Arial" w:ascii="Arial" w:hAnsi="Arial"/>
            <w:kern w:val="0"/>
            <w:lang w:eastAsia="pl-PL"/>
            <w14:ligatures w14:val="none"/>
          </w:rPr>
          <w:t>Samorządowe Przedszkole Nr 1</w:t>
        </w:r>
      </w:hyperlink>
      <w:r>
        <w:rPr>
          <w:rFonts w:eastAsia="Times New Roman" w:cs="Arial" w:ascii="Arial" w:hAnsi="Arial"/>
          <w:kern w:val="0"/>
          <w:lang w:eastAsia="pl-PL"/>
          <w14:ligatures w14:val="none"/>
        </w:rPr>
        <w:t>, ul. Partyzantów 5, 23-100 Bychawa </w:t>
      </w:r>
    </w:p>
    <w:p>
      <w:pPr>
        <w:pStyle w:val="ListParagraph"/>
        <w:numPr>
          <w:ilvl w:val="0"/>
          <w:numId w:val="78"/>
        </w:numPr>
        <w:spacing w:lineRule="auto" w:line="360"/>
        <w:jc w:val="both"/>
        <w:rPr>
          <w:rFonts w:ascii="Times New Roman" w:hAnsi="Times New Roman" w:eastAsia="Times New Roman" w:cs="Times New Roman"/>
          <w:kern w:val="0"/>
          <w:lang w:eastAsia="pl-PL"/>
          <w14:ligatures w14:val="none"/>
        </w:rPr>
      </w:pPr>
      <w:hyperlink r:id="rId17">
        <w:r>
          <w:rPr>
            <w:rStyle w:val="Style"/>
            <w:rFonts w:eastAsia="Times New Roman" w:cs="Arial" w:ascii="Arial" w:hAnsi="Arial"/>
            <w:kern w:val="0"/>
            <w:lang w:eastAsia="pl-PL"/>
            <w14:ligatures w14:val="none"/>
          </w:rPr>
          <w:t>Akademia Poziomkowa</w:t>
        </w:r>
      </w:hyperlink>
      <w:r>
        <w:rPr>
          <w:rFonts w:eastAsia="Times New Roman" w:cs="Arial" w:ascii="Arial" w:hAnsi="Arial"/>
          <w:kern w:val="0"/>
          <w:lang w:eastAsia="pl-PL"/>
          <w14:ligatures w14:val="none"/>
        </w:rPr>
        <w:t xml:space="preserve"> ul.Marszałka Józefa Piłsudskiego 7-15, Bychawa </w:t>
      </w:r>
    </w:p>
    <w:p>
      <w:pPr>
        <w:pStyle w:val="Normal"/>
        <w:spacing w:lineRule="auto" w:line="360"/>
        <w:jc w:val="both"/>
        <w:rPr>
          <w:rFonts w:ascii="Arial" w:hAnsi="Arial" w:eastAsia="Times New Roman" w:cs="Arial"/>
          <w:b/>
          <w:bCs/>
          <w:kern w:val="0"/>
          <w:lang w:eastAsia="pl-PL"/>
          <w14:ligatures w14:val="none"/>
        </w:rPr>
      </w:pPr>
      <w:r>
        <w:rPr>
          <w:rFonts w:eastAsia="Times New Roman" w:cs="Arial" w:ascii="Arial" w:hAnsi="Arial"/>
          <w:kern w:val="0"/>
          <w:lang w:eastAsia="pl-PL"/>
          <w14:ligatures w14:val="none"/>
        </w:rPr>
        <w:t xml:space="preserve">Szkoły realizują zadania określone przepisami prawa w zakresie edukacji </w:t>
        <w:br/>
        <w:t>i szkolnictwa, w tym ustawy o oświacie. W ofercie szkól dotychczas nie notowano usług społecznych</w:t>
      </w:r>
      <w:r>
        <w:rPr>
          <w:rFonts w:eastAsia="Times New Roman" w:cs="Arial" w:ascii="Arial" w:hAnsi="Arial"/>
          <w:b/>
          <w:bCs/>
          <w:kern w:val="0"/>
          <w:lang w:eastAsia="pl-PL"/>
          <w14:ligatures w14:val="none"/>
        </w:rPr>
        <w:t>.</w:t>
      </w:r>
    </w:p>
    <w:p>
      <w:pPr>
        <w:pStyle w:val="ListParagraph"/>
        <w:numPr>
          <w:ilvl w:val="0"/>
          <w:numId w:val="76"/>
        </w:numPr>
        <w:spacing w:lineRule="auto" w:line="360"/>
        <w:jc w:val="both"/>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Placówki opieki nad najmłodszymi mieszkańcami Gminy Bychawa to:</w:t>
      </w:r>
    </w:p>
    <w:p>
      <w:pPr>
        <w:pStyle w:val="ListParagraph"/>
        <w:numPr>
          <w:ilvl w:val="0"/>
          <w:numId w:val="79"/>
        </w:numPr>
        <w:spacing w:lineRule="auto" w:line="360" w:beforeAutospacing="1" w:after="0"/>
        <w:contextualSpacing/>
        <w:jc w:val="both"/>
        <w:rPr>
          <w:rFonts w:ascii="Arial" w:hAnsi="Arial" w:eastAsia="Times New Roman" w:cs="Arial"/>
          <w:kern w:val="0"/>
          <w:lang w:eastAsia="pl-PL"/>
          <w14:ligatures w14:val="none"/>
        </w:rPr>
      </w:pPr>
      <w:hyperlink r:id="rId18">
        <w:r>
          <w:rPr>
            <w:rStyle w:val="Style"/>
            <w:rFonts w:eastAsia="Times New Roman" w:cs="Arial" w:ascii="Arial" w:hAnsi="Arial"/>
            <w:kern w:val="0"/>
            <w:lang w:eastAsia="pl-PL"/>
            <w14:ligatures w14:val="none"/>
          </w:rPr>
          <w:t>Gminny Żłobek "Mały Miś"</w:t>
        </w:r>
      </w:hyperlink>
      <w:r>
        <w:rPr>
          <w:rFonts w:eastAsia="Times New Roman" w:cs="Arial" w:ascii="Arial" w:hAnsi="Arial"/>
          <w:kern w:val="0"/>
          <w:lang w:eastAsia="pl-PL"/>
          <w14:ligatures w14:val="none"/>
        </w:rPr>
        <w:t>, ul. Partyzantów 5, 23-100 Bychawa </w:t>
      </w:r>
    </w:p>
    <w:p>
      <w:pPr>
        <w:pStyle w:val="ListParagraph"/>
        <w:numPr>
          <w:ilvl w:val="0"/>
          <w:numId w:val="79"/>
        </w:numPr>
        <w:spacing w:lineRule="auto" w:line="360" w:before="0" w:afterAutospacing="1"/>
        <w:contextualSpacing/>
        <w:jc w:val="both"/>
        <w:rPr>
          <w:rFonts w:ascii="Arial" w:hAnsi="Arial" w:eastAsia="Times New Roman" w:cs="Arial"/>
          <w:kern w:val="0"/>
          <w:lang w:eastAsia="pl-PL"/>
          <w14:ligatures w14:val="none"/>
        </w:rPr>
      </w:pPr>
      <w:hyperlink r:id="rId19">
        <w:r>
          <w:rPr>
            <w:rStyle w:val="Style"/>
            <w:rFonts w:eastAsia="Times New Roman" w:cs="Arial" w:ascii="Arial" w:hAnsi="Arial"/>
            <w:kern w:val="0"/>
            <w:lang w:eastAsia="pl-PL"/>
            <w14:ligatures w14:val="none"/>
          </w:rPr>
          <w:t>Żłobek „Po-Ziomki”</w:t>
        </w:r>
      </w:hyperlink>
      <w:r>
        <w:rPr>
          <w:rFonts w:eastAsia="Times New Roman" w:cs="Arial" w:ascii="Arial" w:hAnsi="Arial"/>
          <w:kern w:val="0"/>
          <w:lang w:eastAsia="pl-PL"/>
          <w14:ligatures w14:val="none"/>
        </w:rPr>
        <w:t xml:space="preserve"> ; </w:t>
      </w:r>
    </w:p>
    <w:p>
      <w:pPr>
        <w:pStyle w:val="ListParagraph"/>
        <w:spacing w:lineRule="auto" w:line="360" w:beforeAutospacing="1" w:afterAutospacing="1"/>
        <w:contextualSpacing/>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r>
    </w:p>
    <w:p>
      <w:pPr>
        <w:pStyle w:val="ListParagraph"/>
        <w:numPr>
          <w:ilvl w:val="0"/>
          <w:numId w:val="76"/>
        </w:numPr>
        <w:spacing w:lineRule="auto" w:line="360" w:beforeAutospacing="1" w:afterAutospacing="1"/>
        <w:contextualSpacing/>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Bychawskie Centrum Kultury</w:t>
      </w:r>
      <w:r>
        <w:rPr>
          <w:rFonts w:eastAsia="Times New Roman" w:cs="Arial" w:ascii="Arial" w:hAnsi="Arial"/>
          <w:kern w:val="0"/>
          <w:lang w:eastAsia="pl-PL"/>
          <w14:ligatures w14:val="none"/>
        </w:rPr>
        <w:t xml:space="preserve"> jest instytucją stanowiącą lokalne centrum życia kulturalnego, którego misją jest animowanie, upowszechnianie i profesjonalne wspieranie kultury oraz integracja społeczności lokalnej Gminy Bychawa poprzez różnorodne, innowacyjne i powszechnie dostępne formy działalności. Cele strategiczne Centrum Kultury to:</w:t>
      </w:r>
    </w:p>
    <w:p>
      <w:pPr>
        <w:pStyle w:val="Normal"/>
        <w:numPr>
          <w:ilvl w:val="0"/>
          <w:numId w:val="25"/>
        </w:numPr>
        <w:tabs>
          <w:tab w:val="clear" w:pos="708"/>
          <w:tab w:val="left" w:pos="720" w:leader="none"/>
        </w:tabs>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Aktywizacja i integracja społeczności lokalnej.</w:t>
      </w:r>
    </w:p>
    <w:p>
      <w:pPr>
        <w:pStyle w:val="Normal"/>
        <w:numPr>
          <w:ilvl w:val="0"/>
          <w:numId w:val="25"/>
        </w:numPr>
        <w:tabs>
          <w:tab w:val="clear" w:pos="708"/>
          <w:tab w:val="left" w:pos="720" w:leader="none"/>
        </w:tabs>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Upowszechnianie kultury i sztuki oraz edukacja kulturalna wszystkich pokoleń.</w:t>
      </w:r>
    </w:p>
    <w:p>
      <w:pPr>
        <w:pStyle w:val="Normal"/>
        <w:numPr>
          <w:ilvl w:val="0"/>
          <w:numId w:val="25"/>
        </w:numPr>
        <w:tabs>
          <w:tab w:val="clear" w:pos="708"/>
          <w:tab w:val="left" w:pos="720" w:leader="none"/>
        </w:tabs>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Wspieranie lokalnej tożsamości i dziedzictwa kulturowego.</w:t>
      </w:r>
    </w:p>
    <w:p>
      <w:pPr>
        <w:pStyle w:val="Normal"/>
        <w:numPr>
          <w:ilvl w:val="0"/>
          <w:numId w:val="25"/>
        </w:numPr>
        <w:tabs>
          <w:tab w:val="clear" w:pos="708"/>
          <w:tab w:val="left" w:pos="720" w:leader="none"/>
        </w:tabs>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Tworzenie warunków dla rozwoju talentów i amatorskiego ruchu artystycznego.</w:t>
      </w:r>
    </w:p>
    <w:p>
      <w:pPr>
        <w:pStyle w:val="Normal"/>
        <w:numPr>
          <w:ilvl w:val="0"/>
          <w:numId w:val="25"/>
        </w:numPr>
        <w:tabs>
          <w:tab w:val="clear" w:pos="708"/>
          <w:tab w:val="left" w:pos="720" w:leader="none"/>
        </w:tabs>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Kształtowanie Bychawskiego Centrum Kultury jako nowoczesnej i otwartej instytucji.</w:t>
      </w:r>
    </w:p>
    <w:p>
      <w:pPr>
        <w:pStyle w:val="Normal"/>
        <w:spacing w:lineRule="auto" w:line="360" w:beforeAutospacing="1" w:afterAutospacing="1"/>
        <w:ind w:firstLine="708" w:left="362"/>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Szczegółowe zadania BCK to:</w:t>
      </w:r>
    </w:p>
    <w:p>
      <w:pPr>
        <w:pStyle w:val="Normal"/>
        <w:spacing w:lineRule="auto" w:line="360" w:beforeAutospacing="1" w:afterAutospacing="1"/>
        <w:ind w:firstLine="708"/>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 </w:t>
      </w:r>
      <w:r>
        <w:rPr>
          <w:rFonts w:eastAsia="Times New Roman" w:cs="Arial" w:ascii="Arial" w:hAnsi="Arial"/>
          <w:kern w:val="0"/>
          <w:lang w:eastAsia="pl-PL"/>
          <w14:ligatures w14:val="none"/>
        </w:rPr>
        <w:t>W obszarze aktywizacji i integracji społecznej:</w:t>
      </w:r>
    </w:p>
    <w:p>
      <w:pPr>
        <w:pStyle w:val="Normal"/>
        <w:numPr>
          <w:ilvl w:val="0"/>
          <w:numId w:val="26"/>
        </w:numPr>
        <w:tabs>
          <w:tab w:val="clear" w:pos="708"/>
          <w:tab w:val="left" w:pos="720" w:leader="none"/>
        </w:tabs>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Organizacja imprez integracyjnych i środowiskowych (festyny, jarmarki, pikniki rodzinne, potańcówki) o charakterze wielopokoleniowym.</w:t>
      </w:r>
    </w:p>
    <w:p>
      <w:pPr>
        <w:pStyle w:val="Normal"/>
        <w:numPr>
          <w:ilvl w:val="0"/>
          <w:numId w:val="26"/>
        </w:numPr>
        <w:tabs>
          <w:tab w:val="clear" w:pos="708"/>
          <w:tab w:val="left" w:pos="720" w:leader="none"/>
        </w:tabs>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Prowadzenie klubów i kawiarenek tematycznych (Dyskusyjny Klub Filmowy, Klub Podróżnika, Klub Seniora), stanowiących przestrzeń do spotkań i wymiany poglądów.</w:t>
      </w:r>
    </w:p>
    <w:p>
      <w:pPr>
        <w:pStyle w:val="Normal"/>
        <w:numPr>
          <w:ilvl w:val="0"/>
          <w:numId w:val="26"/>
        </w:numPr>
        <w:tabs>
          <w:tab w:val="clear" w:pos="708"/>
          <w:tab w:val="left" w:pos="720" w:leader="none"/>
        </w:tabs>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Współpraca z organizacjami pozarządowymi, szkołami, parafiami i Ośrodkiem Pomocy Społecznej w celu dotarcia do grup zagrożonych wykluczeniem społecznym.</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     </w:t>
      </w:r>
      <w:r>
        <w:rPr>
          <w:rFonts w:eastAsia="Times New Roman" w:cs="Arial" w:ascii="Arial" w:hAnsi="Arial"/>
          <w:kern w:val="0"/>
          <w:lang w:eastAsia="pl-PL"/>
          <w14:ligatures w14:val="none"/>
        </w:rPr>
        <w:t>W obszarze edukacji kulturalnej i upowszechniania kultury:</w:t>
      </w:r>
    </w:p>
    <w:p>
      <w:pPr>
        <w:pStyle w:val="Normal"/>
        <w:numPr>
          <w:ilvl w:val="0"/>
          <w:numId w:val="27"/>
        </w:numPr>
        <w:tabs>
          <w:tab w:val="clear" w:pos="708"/>
          <w:tab w:val="left" w:pos="720" w:leader="none"/>
        </w:tabs>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Prowadzenie stałych zajęć, warsztatów i sekcji artystycznych dla dzieci, młodzieży, dorosłych i seniorów (np. warsztaty teatralne, plastyczne, taneczne, wokalne, rękodzieła, fotograficzne).</w:t>
      </w:r>
    </w:p>
    <w:p>
      <w:pPr>
        <w:pStyle w:val="Normal"/>
        <w:numPr>
          <w:ilvl w:val="0"/>
          <w:numId w:val="27"/>
        </w:numPr>
        <w:tabs>
          <w:tab w:val="clear" w:pos="708"/>
          <w:tab w:val="left" w:pos="720" w:leader="none"/>
        </w:tabs>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Organizacja profesjonalnych wydarzeń artystycznych: koncertów, spektakli teatralnych, wernisaży, projekcji filmowych.</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 obszarze wspierania tożsamości lokalnej i dziedzictwa:</w:t>
      </w:r>
    </w:p>
    <w:p>
      <w:pPr>
        <w:pStyle w:val="Normal"/>
        <w:numPr>
          <w:ilvl w:val="0"/>
          <w:numId w:val="28"/>
        </w:numPr>
        <w:tabs>
          <w:tab w:val="clear" w:pos="708"/>
          <w:tab w:val="left" w:pos="720" w:leader="none"/>
        </w:tabs>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Organizacja cyklicznych imprez nawiązujących do tradycji i obrzędowości regionu.</w:t>
      </w:r>
    </w:p>
    <w:p>
      <w:pPr>
        <w:pStyle w:val="Normal"/>
        <w:numPr>
          <w:ilvl w:val="0"/>
          <w:numId w:val="28"/>
        </w:numPr>
        <w:tabs>
          <w:tab w:val="clear" w:pos="708"/>
          <w:tab w:val="left" w:pos="720" w:leader="none"/>
        </w:tabs>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Wspieranie i promocja lokalnych twórców ludowych i artystów.</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 obszarze rozwoju amatorskiego ruchu artystycznego:</w:t>
      </w:r>
    </w:p>
    <w:p>
      <w:pPr>
        <w:pStyle w:val="Normal"/>
        <w:numPr>
          <w:ilvl w:val="0"/>
          <w:numId w:val="29"/>
        </w:numPr>
        <w:tabs>
          <w:tab w:val="clear" w:pos="708"/>
          <w:tab w:val="left" w:pos="720" w:leader="none"/>
        </w:tabs>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Stworzenie bazy i zapewnienie wsparcia merytorycznego dla działających przy Centrum zespołów artystycznych (chóry, zespoły taneczne).</w:t>
      </w:r>
    </w:p>
    <w:p>
      <w:pPr>
        <w:pStyle w:val="Normal"/>
        <w:numPr>
          <w:ilvl w:val="0"/>
          <w:numId w:val="29"/>
        </w:numPr>
        <w:tabs>
          <w:tab w:val="clear" w:pos="708"/>
          <w:tab w:val="left" w:pos="720" w:leader="none"/>
        </w:tabs>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Organizacja przeglądów, konkursów i festiwali. </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 obszarze nowoczesności i zarządzania:</w:t>
      </w:r>
    </w:p>
    <w:p>
      <w:pPr>
        <w:pStyle w:val="Normal"/>
        <w:numPr>
          <w:ilvl w:val="0"/>
          <w:numId w:val="30"/>
        </w:numPr>
        <w:tabs>
          <w:tab w:val="clear" w:pos="708"/>
          <w:tab w:val="left" w:pos="720" w:leader="none"/>
        </w:tabs>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Systematyczne podnoszenie kwalifikacji kadry Centrum Kultury.</w:t>
      </w:r>
    </w:p>
    <w:p>
      <w:pPr>
        <w:pStyle w:val="Normal"/>
        <w:numPr>
          <w:ilvl w:val="0"/>
          <w:numId w:val="30"/>
        </w:numPr>
        <w:tabs>
          <w:tab w:val="clear" w:pos="708"/>
          <w:tab w:val="left" w:pos="720" w:leader="none"/>
        </w:tabs>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Rozwijanie oferty kulturalnej z wykorzystaniem nowych technologii (streaming wydarzeń).</w:t>
      </w:r>
    </w:p>
    <w:p>
      <w:pPr>
        <w:pStyle w:val="Normal"/>
        <w:numPr>
          <w:ilvl w:val="0"/>
          <w:numId w:val="30"/>
        </w:numPr>
        <w:tabs>
          <w:tab w:val="clear" w:pos="708"/>
          <w:tab w:val="left" w:pos="720" w:leader="none"/>
        </w:tabs>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Dbałość o dostępność architektoniczną.</w:t>
      </w:r>
    </w:p>
    <w:p>
      <w:pPr>
        <w:pStyle w:val="Normal"/>
        <w:numPr>
          <w:ilvl w:val="0"/>
          <w:numId w:val="30"/>
        </w:numPr>
        <w:tabs>
          <w:tab w:val="clear" w:pos="708"/>
          <w:tab w:val="left" w:pos="720" w:leader="none"/>
        </w:tabs>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Pozyskiwanie środków zewnętrznych (granty, programy ministerialne) na rozwój działalności.</w:t>
      </w:r>
    </w:p>
    <w:p>
      <w:pPr>
        <w:pStyle w:val="Normal"/>
        <w:numPr>
          <w:ilvl w:val="0"/>
          <w:numId w:val="30"/>
        </w:numPr>
        <w:tabs>
          <w:tab w:val="clear" w:pos="708"/>
          <w:tab w:val="left" w:pos="720" w:leader="none"/>
        </w:tabs>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Skuteczna promocja wydarzeń i budowanie rozpoznawalnej marki Bychawskiego Centrum Kultury.</w:t>
      </w:r>
    </w:p>
    <w:p>
      <w:pPr>
        <w:pStyle w:val="Normal"/>
        <w:spacing w:lineRule="auto" w:line="360" w:beforeAutospacing="1" w:afterAutospacing="1"/>
        <w:jc w:val="both"/>
        <w:rPr>
          <w:rFonts w:ascii="Arial" w:hAnsi="Arial" w:eastAsia="Times New Roman" w:cs="Arial"/>
          <w:b/>
          <w:bCs/>
          <w:kern w:val="0"/>
          <w:lang w:eastAsia="pl-PL"/>
          <w14:ligatures w14:val="none"/>
        </w:rPr>
      </w:pPr>
      <w:r>
        <w:rPr>
          <w:rFonts w:eastAsia="Times New Roman" w:cs="Arial" w:ascii="Arial" w:hAnsi="Arial"/>
          <w:kern w:val="0"/>
          <w:lang w:eastAsia="pl-PL"/>
          <w14:ligatures w14:val="none"/>
        </w:rPr>
        <w:t xml:space="preserve">Bychawskie Centrum Kultury, realizując te cele i zadania, pełni kluczową rolę nie tylko jako animator życia kulturalnego, ale także jako ważny podmiot polityki społecznej gminy. Poprzez swoją działalność przeciwdziała wykluczeniu społecznemu i kulturalnemu, buduje kapitał społeczny, integruje pokolenia </w:t>
        <w:br/>
        <w:t>i stanowi przestrzeń spotkań, rozwoju i budowania wspólnoty dla wszystkich mieszkańców Bychawy – zarówno tych z miasta, jak i z okolicznych wsi</w:t>
      </w:r>
      <w:r>
        <w:rPr>
          <w:rFonts w:eastAsia="Times New Roman" w:cs="Arial" w:ascii="Arial" w:hAnsi="Arial"/>
          <w:b/>
          <w:bCs/>
          <w:kern w:val="0"/>
          <w:lang w:eastAsia="pl-PL"/>
          <w14:ligatures w14:val="none"/>
        </w:rPr>
        <w:t>.</w:t>
      </w:r>
    </w:p>
    <w:p>
      <w:pPr>
        <w:pStyle w:val="ListParagraph"/>
        <w:numPr>
          <w:ilvl w:val="0"/>
          <w:numId w:val="76"/>
        </w:numPr>
        <w:spacing w:lineRule="auto" w:line="360" w:beforeAutospacing="1" w:afterAutospacing="1"/>
        <w:contextualSpacing/>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Miejsko-Gminna Biblioteka Publiczna w Bychawie „Literackie SPA”</w:t>
      </w:r>
      <w:r>
        <w:rPr>
          <w:rFonts w:eastAsia="Times New Roman" w:cs="Arial" w:ascii="Arial" w:hAnsi="Arial"/>
          <w:kern w:val="0"/>
          <w:lang w:eastAsia="pl-PL"/>
          <w14:ligatures w14:val="none"/>
        </w:rPr>
        <w:t xml:space="preserve"> to innowacja mająca na celu łączenie funkcji kulturalnej, edukacyjnej i relaksacyjnej. Usługa polega na organizowaniu zajęć i spotkań literackich, które sprzyjają zarówno rozwojowi intelektualnemu, jak i poprawie dobrostanu psychicznego uczestników. Projekt wyróżnia się nietypowym podejściem do biblioteki, traktując ją nie tylko jako miejsce wypożyczania książek, lecz także jako przestrzeń do odprężenia, samorozwoju i integracji społecznej.</w:t>
      </w:r>
    </w:p>
    <w:p>
      <w:pPr>
        <w:pStyle w:val="Normal"/>
        <w:spacing w:lineRule="auto" w:line="360" w:beforeAutospacing="1" w:afterAutospacing="1"/>
        <w:ind w:hanging="567" w:left="1134"/>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Główne cele „Literackiego SPA” obejmują:</w:t>
      </w:r>
    </w:p>
    <w:p>
      <w:pPr>
        <w:pStyle w:val="Normal"/>
        <w:numPr>
          <w:ilvl w:val="0"/>
          <w:numId w:val="49"/>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Promocję czytelnictwa i rozwój kompetencji literackich wśród mieszkańców w różnym wieku,</w:t>
      </w:r>
    </w:p>
    <w:p>
      <w:pPr>
        <w:pStyle w:val="Normal"/>
        <w:numPr>
          <w:ilvl w:val="0"/>
          <w:numId w:val="49"/>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Poprawę dobrostanu psychicznego poprzez relaksacyjne zajęcia literackie, dyskusje o książkach oraz warsztaty kreatywnego pisania,</w:t>
      </w:r>
    </w:p>
    <w:p>
      <w:pPr>
        <w:pStyle w:val="Normal"/>
        <w:numPr>
          <w:ilvl w:val="0"/>
          <w:numId w:val="49"/>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Wzmacnianie więzi społecznych i integrację międzypokoleniową, poprzez wspólne spotkania i aktywności grupowe,</w:t>
      </w:r>
    </w:p>
    <w:p>
      <w:pPr>
        <w:pStyle w:val="Normal"/>
        <w:numPr>
          <w:ilvl w:val="0"/>
          <w:numId w:val="49"/>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Rozwijanie zainteresowań kulturalnych oraz aktywnego uczestnictwa w życiu społecznym gminy,</w:t>
      </w:r>
    </w:p>
    <w:p>
      <w:pPr>
        <w:pStyle w:val="Normal"/>
        <w:numPr>
          <w:ilvl w:val="0"/>
          <w:numId w:val="49"/>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Wspieranie lokalnej tożsamości i społeczności czytelniczej, poprzez promocję literatury regionalnej i spotkania z autorami.</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Usługa realizowana jest poprzez różnorodne działania, m.in.:</w:t>
      </w:r>
    </w:p>
    <w:p>
      <w:pPr>
        <w:pStyle w:val="Normal"/>
        <w:numPr>
          <w:ilvl w:val="0"/>
          <w:numId w:val="50"/>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Spotkania literackie i dyskusje książkowe, dostosowane do różnych grup wiekowych,</w:t>
      </w:r>
    </w:p>
    <w:p>
      <w:pPr>
        <w:pStyle w:val="Normal"/>
        <w:numPr>
          <w:ilvl w:val="0"/>
          <w:numId w:val="50"/>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Warsztaty kreatywnego pisania i storytellingu, pozwalające rozwijać umiejętności twórcze i ekspresję własnych myśli,</w:t>
      </w:r>
    </w:p>
    <w:p>
      <w:pPr>
        <w:pStyle w:val="Normal"/>
        <w:numPr>
          <w:ilvl w:val="0"/>
          <w:numId w:val="50"/>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Sesje relaksacyjne z książką, np. czytanie w formie głośnej z elementami mindfulness,</w:t>
      </w:r>
    </w:p>
    <w:p>
      <w:pPr>
        <w:pStyle w:val="Normal"/>
        <w:numPr>
          <w:ilvl w:val="0"/>
          <w:numId w:val="50"/>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Kluby tematyczne (literatura kobieca, fantastyka, literatura regionalna),</w:t>
      </w:r>
    </w:p>
    <w:p>
      <w:pPr>
        <w:pStyle w:val="Normal"/>
        <w:numPr>
          <w:ilvl w:val="0"/>
          <w:numId w:val="50"/>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Warsztaty rodzinne i międzypokoleniowe, angażujące dzieci, młodzież i seniorów,</w:t>
      </w:r>
    </w:p>
    <w:p>
      <w:pPr>
        <w:pStyle w:val="Normal"/>
        <w:numPr>
          <w:ilvl w:val="0"/>
          <w:numId w:val="50"/>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Edukacyjne działania towarzyszące, takie jak prelekcje, spotkania z autorami i zajęcia tematyczne związane z literaturą i kulturą.</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Zajęcia odbywają się zarówno w siedzibie biblioteki, jak i w formie mobilnej – w szkołach, świetlicach wiejskich lub podczas wydarzeń gminnych, co zapewnia dostępność dla wszystkich mieszkańców gminy.</w:t>
      </w:r>
    </w:p>
    <w:p>
      <w:pPr>
        <w:pStyle w:val="Normal"/>
        <w:numPr>
          <w:ilvl w:val="0"/>
          <w:numId w:val="0"/>
        </w:numPr>
        <w:spacing w:lineRule="auto" w:line="360" w:beforeAutospacing="1" w:afterAutospacing="1"/>
        <w:ind w:hanging="0" w:left="0"/>
        <w:jc w:val="left"/>
        <w:outlineLvl w:val="2"/>
        <w:rPr>
          <w:rFonts w:ascii="Arial" w:hAnsi="Arial" w:eastAsia="Times New Roman" w:cs="Arial"/>
          <w:kern w:val="0"/>
          <w:lang w:eastAsia="pl-PL"/>
          <w14:ligatures w14:val="none"/>
        </w:rPr>
      </w:pPr>
      <w:r>
        <w:rPr>
          <w:rFonts w:eastAsia="Times New Roman" w:cs="Arial" w:ascii="Arial" w:hAnsi="Arial"/>
          <w:kern w:val="0"/>
          <w:lang w:eastAsia="pl-PL"/>
          <w14:ligatures w14:val="none"/>
        </w:rPr>
        <w:t>Kluczowe cechy usługi</w:t>
      </w:r>
    </w:p>
    <w:p>
      <w:pPr>
        <w:pStyle w:val="Normal"/>
        <w:numPr>
          <w:ilvl w:val="0"/>
          <w:numId w:val="51"/>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Innowacyjność i wielofunkcyjność – łączenie literatury, edukacji, relaksu i integracji społecznej,</w:t>
      </w:r>
    </w:p>
    <w:p>
      <w:pPr>
        <w:pStyle w:val="Normal"/>
        <w:numPr>
          <w:ilvl w:val="0"/>
          <w:numId w:val="51"/>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Dostępność – zarówno w siedzibie biblioteki, jak i w miejscach mobilnych,</w:t>
      </w:r>
    </w:p>
    <w:p>
      <w:pPr>
        <w:pStyle w:val="Normal"/>
        <w:numPr>
          <w:ilvl w:val="0"/>
          <w:numId w:val="51"/>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Profil prospołeczny i profilaktyczny – przeciwdziałanie izolacji, rozwijanie kompetencji interpersonalnych i twórczych,</w:t>
      </w:r>
    </w:p>
    <w:p>
      <w:pPr>
        <w:pStyle w:val="Normal"/>
        <w:numPr>
          <w:ilvl w:val="0"/>
          <w:numId w:val="51"/>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Elastyczność i adaptacja do potrzeb uczestników – zajęcia dostosowane do wieku, zainteresowań i możliwości uczestników.</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Znaczenie dla społeczności lokalnej „Literackiego SPA”:</w:t>
      </w:r>
    </w:p>
    <w:p>
      <w:pPr>
        <w:pStyle w:val="Normal"/>
        <w:numPr>
          <w:ilvl w:val="0"/>
          <w:numId w:val="52"/>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wzmacnia kulturę czytelniczą i edukację kulturalną,</w:t>
      </w:r>
    </w:p>
    <w:p>
      <w:pPr>
        <w:pStyle w:val="Normal"/>
        <w:numPr>
          <w:ilvl w:val="0"/>
          <w:numId w:val="52"/>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tworzy przestrzeń integracji międzypokoleniowej,</w:t>
      </w:r>
    </w:p>
    <w:p>
      <w:pPr>
        <w:pStyle w:val="Normal"/>
        <w:numPr>
          <w:ilvl w:val="0"/>
          <w:numId w:val="52"/>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wpływa na poprawę dobrostanu psychicznego mieszkańców,</w:t>
      </w:r>
    </w:p>
    <w:p>
      <w:pPr>
        <w:pStyle w:val="Normal"/>
        <w:numPr>
          <w:ilvl w:val="0"/>
          <w:numId w:val="52"/>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rozwija aktywną społeczność lokalną, sprzyjającą inicjatywom kulturalnym i społecznym,</w:t>
      </w:r>
    </w:p>
    <w:p>
      <w:pPr>
        <w:pStyle w:val="Normal"/>
        <w:numPr>
          <w:ilvl w:val="0"/>
          <w:numId w:val="52"/>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stanowi dobry przykład nowoczesnej funkcji biblioteki jako miejsca usług społecznych i edukacyjnych, odpowiadających na potrzeby współczesnych mieszkańców.</w:t>
      </w:r>
    </w:p>
    <w:p>
      <w:pPr>
        <w:pStyle w:val="ListParagraph"/>
        <w:numPr>
          <w:ilvl w:val="0"/>
          <w:numId w:val="76"/>
        </w:numPr>
        <w:spacing w:lineRule="auto" w:line="360" w:beforeAutospacing="1" w:afterAutospacing="1"/>
        <w:contextualSpacing/>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Środowiskowy Dom Samopomocy  w Bychawie</w:t>
      </w:r>
      <w:r>
        <w:rPr>
          <w:rFonts w:eastAsia="Times New Roman" w:cs="Arial" w:ascii="Arial" w:hAnsi="Arial"/>
          <w:kern w:val="0"/>
          <w:lang w:eastAsia="pl-PL"/>
          <w14:ligatures w14:val="none"/>
        </w:rPr>
        <w:t xml:space="preserve"> jest instytucją wsparcia dziennego dla osób dorosłych z niepełnosprawnością intelektualną, przewlekłymi chorobami psychicznymi lub innymi trudnościami wymagającymi wsparcia w codziennym funkcjonowaniu. Placówka działa w formie ośrodka dziennego, zapewniając uczestnikom różnorodne formy aktywizacji, edukacji i terapii. ŚDS w Bychawie pełni funkcję integrującą, rehabilitacyjną i społeczną, umożliwiając osobom z niepełnosprawnościami samodzielne i aktywne uczestnictwo w życiu społeczności lokalnej.</w:t>
      </w:r>
    </w:p>
    <w:p>
      <w:pPr>
        <w:pStyle w:val="Normal"/>
        <w:spacing w:lineRule="auto" w:line="360" w:beforeAutospacing="1" w:afterAutospacing="1"/>
        <w:ind w:left="142"/>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Główne cele Środowiskowego Domu Samopomocy w Bychawie to:</w:t>
      </w:r>
    </w:p>
    <w:p>
      <w:pPr>
        <w:pStyle w:val="Normal"/>
        <w:numPr>
          <w:ilvl w:val="0"/>
          <w:numId w:val="53"/>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Wsparcie w codziennym funkcjonowaniu osób z niepełnosprawnościami poprzez zajęcia usprawniające, edukacyjne i terapeutyczne,</w:t>
      </w:r>
    </w:p>
    <w:p>
      <w:pPr>
        <w:pStyle w:val="Normal"/>
        <w:numPr>
          <w:ilvl w:val="0"/>
          <w:numId w:val="5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Rozwój umiejętności społecznych i interpersonalnych uczestników, zwiększający ich samodzielność i pewność siebie,</w:t>
      </w:r>
    </w:p>
    <w:p>
      <w:pPr>
        <w:pStyle w:val="Normal"/>
        <w:numPr>
          <w:ilvl w:val="0"/>
          <w:numId w:val="5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Aktywizacja zawodowa i społeczna, m.in. poprzez warsztaty manualne, plastyczne, kulinarne czy ogrodnicze,</w:t>
      </w:r>
    </w:p>
    <w:p>
      <w:pPr>
        <w:pStyle w:val="Normal"/>
        <w:numPr>
          <w:ilvl w:val="0"/>
          <w:numId w:val="5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Przeciwdziałanie izolacji społecznej i wykluczeniu, poprzez udział w zajęciach grupowych i wydarzeniach lokalnych,</w:t>
      </w:r>
    </w:p>
    <w:p>
      <w:pPr>
        <w:pStyle w:val="Normal"/>
        <w:numPr>
          <w:ilvl w:val="0"/>
          <w:numId w:val="53"/>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Wspieranie rodzin uczestników w opiece i edukacji, poprzez doradztwo, konsultacje i współpracę z opiekunami.</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ŚDS oferuje różnorodne zajęcia i usługi dostosowane do potrzeb uczestników, w tym:</w:t>
      </w:r>
    </w:p>
    <w:p>
      <w:pPr>
        <w:pStyle w:val="Normal"/>
        <w:numPr>
          <w:ilvl w:val="0"/>
          <w:numId w:val="54"/>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Terapie zajęciowe i usprawniające, poprawiające sprawność manualną, motorykę i koordynację,</w:t>
      </w:r>
    </w:p>
    <w:p>
      <w:pPr>
        <w:pStyle w:val="Normal"/>
        <w:numPr>
          <w:ilvl w:val="0"/>
          <w:numId w:val="54"/>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Warsztaty plastyczne, kulinarne i rękodzielnicze, rozwijające zdolności kreatywne i praktyczne,</w:t>
      </w:r>
    </w:p>
    <w:p>
      <w:pPr>
        <w:pStyle w:val="Normal"/>
        <w:numPr>
          <w:ilvl w:val="0"/>
          <w:numId w:val="54"/>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Zajęcia edukacyjne i komputerowe, wspierające naukę nowych umiejętności i korzystanie z technologii,</w:t>
      </w:r>
    </w:p>
    <w:p>
      <w:pPr>
        <w:pStyle w:val="Normal"/>
        <w:numPr>
          <w:ilvl w:val="0"/>
          <w:numId w:val="54"/>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Zajęcia ruchowe i sportowe, poprawiające kondycję fizyczną i zdrowie uczestników,</w:t>
      </w:r>
    </w:p>
    <w:p>
      <w:pPr>
        <w:pStyle w:val="Normal"/>
        <w:numPr>
          <w:ilvl w:val="0"/>
          <w:numId w:val="54"/>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Spotkania integracyjne i wyjścia do instytucji kultury, które umożliwiają uczestnikom aktywny udział w życiu lokalnym,</w:t>
      </w:r>
    </w:p>
    <w:p>
      <w:pPr>
        <w:pStyle w:val="Normal"/>
        <w:numPr>
          <w:ilvl w:val="0"/>
          <w:numId w:val="54"/>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Wsparcie psychologiczne i doradztwo, dostosowane do indywidualnych potrzeb uczestników.</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Placówka działa głównie w siedzibie ŚDS, jednak niektóre działania mogą być realizowane w przestrzeni publicznej lub w innych instytucjach lokalnych, co sprzyja integracji z otoczeniem.</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ŚDS w Bychawie jest przeznaczony dla:</w:t>
      </w:r>
    </w:p>
    <w:p>
      <w:pPr>
        <w:pStyle w:val="Normal"/>
        <w:numPr>
          <w:ilvl w:val="0"/>
          <w:numId w:val="55"/>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osób dorosłych z niepełnosprawnością intelektualną,</w:t>
      </w:r>
    </w:p>
    <w:p>
      <w:pPr>
        <w:pStyle w:val="Normal"/>
        <w:numPr>
          <w:ilvl w:val="0"/>
          <w:numId w:val="55"/>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osób z przewlekłymi chorobami psychicznymi,</w:t>
      </w:r>
    </w:p>
    <w:p>
      <w:pPr>
        <w:pStyle w:val="Normal"/>
        <w:numPr>
          <w:ilvl w:val="0"/>
          <w:numId w:val="55"/>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osób wymagających wsparcia w codziennym funkcjonowaniu i integracji społecznej,</w:t>
      </w:r>
    </w:p>
    <w:p>
      <w:pPr>
        <w:pStyle w:val="Normal"/>
        <w:numPr>
          <w:ilvl w:val="0"/>
          <w:numId w:val="55"/>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rodzin uczestników, które korzystają z doradztwa i wsparcia placówki.</w:t>
      </w:r>
    </w:p>
    <w:p>
      <w:pPr>
        <w:pStyle w:val="Normal"/>
        <w:numPr>
          <w:ilvl w:val="0"/>
          <w:numId w:val="0"/>
        </w:numPr>
        <w:spacing w:lineRule="auto" w:line="360" w:beforeAutospacing="1" w:afterAutospacing="1"/>
        <w:ind w:hanging="0" w:left="0"/>
        <w:jc w:val="left"/>
        <w:outlineLvl w:val="2"/>
        <w:rPr>
          <w:rFonts w:ascii="Arial" w:hAnsi="Arial" w:eastAsia="Times New Roman" w:cs="Arial"/>
          <w:kern w:val="0"/>
          <w:lang w:eastAsia="pl-PL"/>
          <w14:ligatures w14:val="none"/>
        </w:rPr>
      </w:pPr>
      <w:r>
        <w:rPr>
          <w:rFonts w:eastAsia="Times New Roman" w:cs="Arial" w:ascii="Arial" w:hAnsi="Arial"/>
          <w:kern w:val="0"/>
          <w:lang w:eastAsia="pl-PL"/>
          <w14:ligatures w14:val="none"/>
        </w:rPr>
        <w:t>Kluczowe cechy placówki</w:t>
      </w:r>
    </w:p>
    <w:p>
      <w:pPr>
        <w:pStyle w:val="Normal"/>
        <w:numPr>
          <w:ilvl w:val="0"/>
          <w:numId w:val="56"/>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Profil wsparcia dziennego i terapeutycznego, umożliwiający rozwój samodzielności i kompetencji uczestników,</w:t>
      </w:r>
    </w:p>
    <w:p>
      <w:pPr>
        <w:pStyle w:val="Normal"/>
        <w:numPr>
          <w:ilvl w:val="0"/>
          <w:numId w:val="56"/>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Aktywizacja społeczna i integracja z lokalną społecznością, przeciwdziałająca izolacji,</w:t>
      </w:r>
    </w:p>
    <w:p>
      <w:pPr>
        <w:pStyle w:val="Normal"/>
        <w:numPr>
          <w:ilvl w:val="0"/>
          <w:numId w:val="56"/>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Indywidualne podejście do uczestnika, z uwzględnieniem jego potrzeb, możliwości i zainteresowań,</w:t>
      </w:r>
    </w:p>
    <w:p>
      <w:pPr>
        <w:pStyle w:val="Normal"/>
        <w:numPr>
          <w:ilvl w:val="0"/>
          <w:numId w:val="56"/>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Wielofunkcyjność zajęć, łącząca terapię, edukację, aktywność manualną i ruchową,</w:t>
      </w:r>
    </w:p>
    <w:p>
      <w:pPr>
        <w:pStyle w:val="Normal"/>
        <w:numPr>
          <w:ilvl w:val="0"/>
          <w:numId w:val="56"/>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Dostępność dla mieszkańców gminy, zarówno w siedzibie, jak i poprzez działania wyjazdowe lub mobilne.</w:t>
      </w:r>
    </w:p>
    <w:p>
      <w:pPr>
        <w:pStyle w:val="Normal"/>
        <w:numPr>
          <w:ilvl w:val="0"/>
          <w:numId w:val="0"/>
        </w:numPr>
        <w:spacing w:lineRule="auto" w:line="360" w:beforeAutospacing="1" w:afterAutospacing="1"/>
        <w:ind w:hanging="0" w:left="0"/>
        <w:jc w:val="both"/>
        <w:outlineLvl w:val="2"/>
        <w:rPr>
          <w:rFonts w:ascii="Arial" w:hAnsi="Arial" w:eastAsia="Times New Roman" w:cs="Arial"/>
          <w:kern w:val="0"/>
          <w:lang w:eastAsia="pl-PL"/>
          <w14:ligatures w14:val="none"/>
        </w:rPr>
      </w:pPr>
      <w:r>
        <w:rPr>
          <w:rFonts w:eastAsia="Times New Roman" w:cs="Arial" w:ascii="Arial" w:hAnsi="Arial"/>
          <w:kern w:val="0"/>
          <w:lang w:eastAsia="pl-PL"/>
          <w14:ligatures w14:val="none"/>
        </w:rPr>
        <w:t>Znaczenie dla społeczności lokalnej</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Środowiskowy Dom Samopomocy w Bychawie:</w:t>
      </w:r>
    </w:p>
    <w:p>
      <w:pPr>
        <w:pStyle w:val="Normal"/>
        <w:numPr>
          <w:ilvl w:val="0"/>
          <w:numId w:val="57"/>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zwiększa dostępność usług wsparcia dla osób z niepełnosprawnościami,</w:t>
      </w:r>
    </w:p>
    <w:p>
      <w:pPr>
        <w:pStyle w:val="Normal"/>
        <w:numPr>
          <w:ilvl w:val="0"/>
          <w:numId w:val="57"/>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wspiera aktywizację zawodową i społeczną uczestników,</w:t>
      </w:r>
    </w:p>
    <w:p>
      <w:pPr>
        <w:pStyle w:val="Normal"/>
        <w:numPr>
          <w:ilvl w:val="0"/>
          <w:numId w:val="57"/>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tworzy przestrzeń integracji międzypokoleniowej i międzyspecjalistycznej,</w:t>
      </w:r>
    </w:p>
    <w:p>
      <w:pPr>
        <w:pStyle w:val="Normal"/>
        <w:numPr>
          <w:ilvl w:val="0"/>
          <w:numId w:val="57"/>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przeciwdziała wykluczeniu społecznemu i izolacji,</w:t>
      </w:r>
    </w:p>
    <w:p>
      <w:pPr>
        <w:pStyle w:val="Normal"/>
        <w:numPr>
          <w:ilvl w:val="0"/>
          <w:numId w:val="57"/>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wzmacnia współpracę samorządu, rodzin i organizacji pozarządowych w zakresie wsparcia społecznego i zdrowotnego.</w:t>
      </w:r>
    </w:p>
    <w:p>
      <w:pPr>
        <w:pStyle w:val="Normal"/>
        <w:spacing w:lineRule="auto" w:line="360"/>
        <w:jc w:val="both"/>
        <w:rPr>
          <w:rFonts w:ascii="Arial" w:hAnsi="Arial" w:cs="Arial"/>
        </w:rPr>
      </w:pPr>
      <w:r>
        <w:rPr>
          <w:rFonts w:eastAsia="Times New Roman" w:cs="Arial" w:ascii="Arial" w:hAnsi="Arial"/>
          <w:b/>
          <w:bCs/>
          <w:kern w:val="0"/>
          <w:lang w:eastAsia="pl-PL"/>
          <w14:ligatures w14:val="none"/>
        </w:rPr>
        <w:t xml:space="preserve">Katalog podmiotów działających jako </w:t>
      </w:r>
      <w:r>
        <w:rPr>
          <w:rFonts w:cs="Arial" w:ascii="Arial" w:hAnsi="Arial"/>
          <w:b/>
          <w:bCs/>
        </w:rPr>
        <w:t>organizacje pozarządowe oraz podmioty, o których mowa w art. 3 ust. 3 ustawy o działalności pożytku publicznego</w:t>
      </w:r>
      <w:r>
        <w:rPr>
          <w:rFonts w:cs="Arial" w:ascii="Arial" w:hAnsi="Arial"/>
        </w:rPr>
        <w:t xml:space="preserve"> stanowi ponad pięćdziesiąt organizacji. Wykaz podmiotów zawierają załączniki numer 5 i numer 6 do niniejszego opracowania.  Podmioty wskazane w załącznikach nie realizowały dotychczas usług społecznych w rozumieniu ustawy o organizowaniu usług, a w przyszłości tylko nieliczne z nich będą mogą podejmować inicjatywy w tym obszarze. Zdecydują o tym między innymi zapisy statutowe organizacji, pozwalające na realizację usług społecznych określonych w Programie Usług Społecznych przyjętego w formie uchwały przez Radę Miejską w Bychawie. </w:t>
      </w:r>
    </w:p>
    <w:p>
      <w:pPr>
        <w:pStyle w:val="Normal"/>
        <w:numPr>
          <w:ilvl w:val="0"/>
          <w:numId w:val="0"/>
        </w:numPr>
        <w:spacing w:lineRule="auto" w:line="360" w:beforeAutospacing="1" w:afterAutospacing="1"/>
        <w:ind w:hanging="0" w:left="0"/>
        <w:jc w:val="both"/>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Znaczenie potencjału wspólnoty samorządowej Gminy Bychawa w organizacji usług społecznych</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Wspólnota samorządowa Gminy Bychawa dysponuje znacznym potencjałem społecznym, instytucjonalnym i środowiskowym, który może stanowić fundament rozwoju nowoczesnego, partycypacyjnego modelu organizacji usług społecznych. Wprowadzanie usług zgodnie z art. 2 ustawy o CUS wymaga współdziałania wielu podmiotów, a lokalne zasoby są jednym z kluczowych elementów sukcesu.</w:t>
      </w:r>
    </w:p>
    <w:p>
      <w:pPr>
        <w:pStyle w:val="ListParagraph"/>
        <w:numPr>
          <w:ilvl w:val="0"/>
          <w:numId w:val="76"/>
        </w:numPr>
        <w:spacing w:lineRule="auto" w:line="360" w:beforeAutospacing="1" w:afterAutospacing="1"/>
        <w:contextualSpacing/>
        <w:jc w:val="both"/>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Współpraca międzyinstytucjonalna jako siła rozwojowa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Skuteczna organizacja usług społecznych opiera się na ścisłej współpracy samorządu, jednostek organizacyjnych, instytucji publicznych, szkół, organizacji pozarządowych i grup nieformalnych. W Gminie Bychawa istnieją dobre podstawy do rozwoju takiej współpracy, która umożliwia:</w:t>
      </w:r>
    </w:p>
    <w:p>
      <w:pPr>
        <w:pStyle w:val="Normal"/>
        <w:numPr>
          <w:ilvl w:val="0"/>
          <w:numId w:val="80"/>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tworzenie zintegrowanych ofert wsparcia,</w:t>
      </w:r>
    </w:p>
    <w:p>
      <w:pPr>
        <w:pStyle w:val="Normal"/>
        <w:numPr>
          <w:ilvl w:val="0"/>
          <w:numId w:val="80"/>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wymianę informacji i koordynację działań,</w:t>
      </w:r>
    </w:p>
    <w:p>
      <w:pPr>
        <w:pStyle w:val="Normal"/>
        <w:numPr>
          <w:ilvl w:val="0"/>
          <w:numId w:val="80"/>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realizację usług środowiskowych blisko mieszkańców,</w:t>
      </w:r>
    </w:p>
    <w:p>
      <w:pPr>
        <w:pStyle w:val="Normal"/>
        <w:numPr>
          <w:ilvl w:val="0"/>
          <w:numId w:val="80"/>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efektywniejsze wykorzystanie zasobów kadrowych i infrastrukturalnych.</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CUS może pełnić rolę lokalnego koordynatora, integrującego działania wielu partnerów w spójny system usług.</w:t>
      </w:r>
    </w:p>
    <w:p>
      <w:pPr>
        <w:pStyle w:val="ListParagraph"/>
        <w:numPr>
          <w:ilvl w:val="0"/>
          <w:numId w:val="76"/>
        </w:numPr>
        <w:spacing w:lineRule="auto" w:line="360" w:beforeAutospacing="1" w:afterAutospacing="1"/>
        <w:contextualSpacing/>
        <w:jc w:val="both"/>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Kontraktacja usług społecznych – wykorzystanie potencjału NGO i lokalnych grup</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Zgodnie z zasadą pomocniczości, wiele usług może być realizowanych poza instytucjami samorządowymi – przez organizacje pozarządowe, grupy społeczne czy lokalnych przedsiębiorców.</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Kontraktacja usług społecznych:</w:t>
      </w:r>
    </w:p>
    <w:p>
      <w:pPr>
        <w:pStyle w:val="Normal"/>
        <w:numPr>
          <w:ilvl w:val="0"/>
          <w:numId w:val="81"/>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zwiększa elastyczność i różnorodność oferty,</w:t>
      </w:r>
    </w:p>
    <w:p>
      <w:pPr>
        <w:pStyle w:val="Normal"/>
        <w:numPr>
          <w:ilvl w:val="0"/>
          <w:numId w:val="8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pozwala tworzyć usługi bliższe mieszkańcom,</w:t>
      </w:r>
    </w:p>
    <w:p>
      <w:pPr>
        <w:pStyle w:val="Normal"/>
        <w:numPr>
          <w:ilvl w:val="0"/>
          <w:numId w:val="8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wzmacnia sektor obywatelski,</w:t>
      </w:r>
    </w:p>
    <w:p>
      <w:pPr>
        <w:pStyle w:val="Normal"/>
        <w:numPr>
          <w:ilvl w:val="0"/>
          <w:numId w:val="81"/>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podnosi skuteczność i innowacyjność działań.</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Bychawie działa szereg podmiotów, które mogą być naturalnymi realizatorami usług: KGW, OSP, stowarzyszenia, kluby sportowe, grupy nieformalne, a także instytucje kultury czy parafie. Ich zaangażowanie zwiększa dostępność usług i buduje społeczny charakter wsparcia.</w:t>
      </w:r>
    </w:p>
    <w:p>
      <w:pPr>
        <w:pStyle w:val="ListParagraph"/>
        <w:numPr>
          <w:ilvl w:val="0"/>
          <w:numId w:val="76"/>
        </w:numPr>
        <w:spacing w:lineRule="auto" w:line="360" w:beforeAutospacing="1" w:afterAutospacing="1"/>
        <w:contextualSpacing/>
        <w:jc w:val="both"/>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Partycypacyjny model współpracy jako podstawa budowy CUS</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procesie tworzenia CUS kluczowe jest oparcie działań na realnych potrzebach mieszkańców oraz ich aktywnym udziale w planowaniu i wdrażaniu usług. Taki model opiera się na:</w:t>
      </w:r>
    </w:p>
    <w:p>
      <w:pPr>
        <w:pStyle w:val="Normal"/>
        <w:numPr>
          <w:ilvl w:val="0"/>
          <w:numId w:val="82"/>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konsultacjach społecznych,</w:t>
      </w:r>
    </w:p>
    <w:p>
      <w:pPr>
        <w:pStyle w:val="Normal"/>
        <w:numPr>
          <w:ilvl w:val="0"/>
          <w:numId w:val="82"/>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udziału mieszkańców w diagnozie i projektowaniu usług,</w:t>
      </w:r>
    </w:p>
    <w:p>
      <w:pPr>
        <w:pStyle w:val="Normal"/>
        <w:numPr>
          <w:ilvl w:val="0"/>
          <w:numId w:val="82"/>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tworzeniu grup roboczych i zespołów mieszkańców,</w:t>
      </w:r>
    </w:p>
    <w:p>
      <w:pPr>
        <w:pStyle w:val="Normal"/>
        <w:numPr>
          <w:ilvl w:val="0"/>
          <w:numId w:val="82"/>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współdecydowaniu o kierunkach rozwoju usług,</w:t>
      </w:r>
    </w:p>
    <w:p>
      <w:pPr>
        <w:pStyle w:val="Normal"/>
        <w:numPr>
          <w:ilvl w:val="0"/>
          <w:numId w:val="82"/>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współodpowiedzialności za rezultaty.</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Party</w:t>
        <w:softHyphen/>
        <w:t>cypacja buduje poczucie wpływu, integruje społeczność i zwiększa identyfikację mieszkańców z CUS.</w:t>
      </w:r>
    </w:p>
    <w:p>
      <w:pPr>
        <w:pStyle w:val="ListParagraph"/>
        <w:numPr>
          <w:ilvl w:val="0"/>
          <w:numId w:val="86"/>
        </w:numPr>
        <w:spacing w:lineRule="auto" w:line="360" w:beforeAutospacing="1" w:afterAutospacing="1"/>
        <w:contextualSpacing/>
        <w:jc w:val="both"/>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Plan Organizowania Społeczności Lokalnej jako narzędzie mobilizacji mieszkańców</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Realizacja Planu OSL daje możliwość aktywnego włączania mieszkańców do działań społecznych i budowy trwałych lokalnych sieci wsparcia. OSL sprzyja tworzeniu:</w:t>
      </w:r>
    </w:p>
    <w:p>
      <w:pPr>
        <w:pStyle w:val="Normal"/>
        <w:numPr>
          <w:ilvl w:val="0"/>
          <w:numId w:val="83"/>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grup samopomocowych,</w:t>
      </w:r>
    </w:p>
    <w:p>
      <w:pPr>
        <w:pStyle w:val="Normal"/>
        <w:numPr>
          <w:ilvl w:val="0"/>
          <w:numId w:val="83"/>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inicjatyw sąsiedzkich,</w:t>
      </w:r>
    </w:p>
    <w:p>
      <w:pPr>
        <w:pStyle w:val="Normal"/>
        <w:numPr>
          <w:ilvl w:val="0"/>
          <w:numId w:val="83"/>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projektów lokalnych,</w:t>
      </w:r>
    </w:p>
    <w:p>
      <w:pPr>
        <w:pStyle w:val="Normal"/>
        <w:numPr>
          <w:ilvl w:val="0"/>
          <w:numId w:val="83"/>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działań integracyjnych na świetlicach i w sołectwach.</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OSL zmniejsza dystans między instytucją a mieszkańcami, wzmacniając poczucie wspólnoty i sprawczości.</w:t>
      </w:r>
    </w:p>
    <w:p>
      <w:pPr>
        <w:pStyle w:val="ListParagraph"/>
        <w:numPr>
          <w:ilvl w:val="0"/>
          <w:numId w:val="86"/>
        </w:numPr>
        <w:spacing w:lineRule="auto" w:line="360" w:beforeAutospacing="1" w:afterAutospacing="1"/>
        <w:contextualSpacing/>
        <w:jc w:val="both"/>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Potencjał lokalnych organizacji – KGW, OSP, stowarzyszenia</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Te środowiska stanowią realną siłę społeczną gminy:</w:t>
      </w:r>
    </w:p>
    <w:p>
      <w:pPr>
        <w:pStyle w:val="Normal"/>
        <w:numPr>
          <w:ilvl w:val="0"/>
          <w:numId w:val="84"/>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Koła Gospodyń Wiejskich</w:t>
      </w:r>
      <w:r>
        <w:rPr>
          <w:rFonts w:eastAsia="Times New Roman" w:cs="Arial" w:ascii="Arial" w:hAnsi="Arial"/>
          <w:kern w:val="0"/>
          <w:lang w:eastAsia="pl-PL"/>
          <w14:ligatures w14:val="none"/>
        </w:rPr>
        <w:t xml:space="preserve"> – doświadczenie w organizacji wydarzeń, animacji społecznej, edukacji kulinarnej i rękodzielniczej; idealni partnerzy usług środowiskowych i integracyjnych.</w:t>
      </w:r>
    </w:p>
    <w:p>
      <w:pPr>
        <w:pStyle w:val="Normal"/>
        <w:numPr>
          <w:ilvl w:val="0"/>
          <w:numId w:val="84"/>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Ochotnicze Straże Pożarne</w:t>
      </w:r>
      <w:r>
        <w:rPr>
          <w:rFonts w:eastAsia="Times New Roman" w:cs="Arial" w:ascii="Arial" w:hAnsi="Arial"/>
          <w:kern w:val="0"/>
          <w:lang w:eastAsia="pl-PL"/>
          <w14:ligatures w14:val="none"/>
        </w:rPr>
        <w:t xml:space="preserve"> – zasoby infrastrukturalne, organizacyjne i edukacyjne (bezpieczeństwo, profilaktyka), często pełnią funkcję centrów życia lokalnego.</w:t>
      </w:r>
    </w:p>
    <w:p>
      <w:pPr>
        <w:pStyle w:val="Normal"/>
        <w:numPr>
          <w:ilvl w:val="0"/>
          <w:numId w:val="84"/>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Stowarzyszenia i grupy nieformalne</w:t>
      </w:r>
      <w:r>
        <w:rPr>
          <w:rFonts w:eastAsia="Times New Roman" w:cs="Arial" w:ascii="Arial" w:hAnsi="Arial"/>
          <w:kern w:val="0"/>
          <w:lang w:eastAsia="pl-PL"/>
          <w14:ligatures w14:val="none"/>
        </w:rPr>
        <w:t xml:space="preserve"> – duża elastyczność, kreatywność i gotowość do prowadzenia działań społecznych, kulturalnych i aktywizujących.</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Ich włączenie do systemu usług społecznych znacząco zwiększa zasięg i różnorodność wsparcia.</w:t>
      </w:r>
    </w:p>
    <w:p>
      <w:pPr>
        <w:pStyle w:val="ListParagraph"/>
        <w:numPr>
          <w:ilvl w:val="0"/>
          <w:numId w:val="86"/>
        </w:numPr>
        <w:spacing w:lineRule="auto" w:line="360" w:beforeAutospacing="1" w:afterAutospacing="1"/>
        <w:contextualSpacing/>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Mocne fundamenty do budowy lokalnego systemu usług</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Potencjał wspólnoty Gminy Bychawa pozwala na rozwój usług:</w:t>
      </w:r>
    </w:p>
    <w:p>
      <w:pPr>
        <w:pStyle w:val="Normal"/>
        <w:numPr>
          <w:ilvl w:val="0"/>
          <w:numId w:val="85"/>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środowiskowych,</w:t>
      </w:r>
    </w:p>
    <w:p>
      <w:pPr>
        <w:pStyle w:val="Normal"/>
        <w:numPr>
          <w:ilvl w:val="0"/>
          <w:numId w:val="85"/>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profilaktycznych,</w:t>
      </w:r>
    </w:p>
    <w:p>
      <w:pPr>
        <w:pStyle w:val="Normal"/>
        <w:numPr>
          <w:ilvl w:val="0"/>
          <w:numId w:val="85"/>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prorodzinnych,</w:t>
      </w:r>
    </w:p>
    <w:p>
      <w:pPr>
        <w:pStyle w:val="Normal"/>
        <w:numPr>
          <w:ilvl w:val="0"/>
          <w:numId w:val="85"/>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edukacyjnych,</w:t>
      </w:r>
    </w:p>
    <w:p>
      <w:pPr>
        <w:pStyle w:val="Normal"/>
        <w:numPr>
          <w:ilvl w:val="0"/>
          <w:numId w:val="85"/>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aktywizacyjnych,</w:t>
      </w:r>
    </w:p>
    <w:p>
      <w:pPr>
        <w:pStyle w:val="Normal"/>
        <w:numPr>
          <w:ilvl w:val="0"/>
          <w:numId w:val="85"/>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integracyjnych.</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Włączenie społeczności lokalnej w projektowanie i realizację usług buduje system współpracy, w którym mieszkańcy są współtwórcami, a nie jedynie odbiorcami wsparcia.</w:t>
      </w:r>
    </w:p>
    <w:p>
      <w:pPr>
        <w:pStyle w:val="Normal"/>
        <w:spacing w:lineRule="auto" w:line="360" w:beforeAutospacing="1" w:afterAutospacing="1"/>
        <w:ind w:firstLine="36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Potencjał wspólnoty samorządowej Gminy Bychawa – zasoby instytucjonalne, aktywność mieszkańców, siła KGW, OSP i stowarzyszeń oraz otwartość na współpracę – tworzy solidne podstawy do wdrożenia nowoczesnego, partycypacyjnego modelu usług społecznych. Przekształcenie OPS w CUS umożliwia pełne wykorzystanie tych zasobów, wzmocnienie ich koordynacji i rozwój katalogu usług społecznych zgodnie z art. 2 ustawy. Jest to krok w stronę bardziej dostępnego, zintegrowanego i bliskiego ludziom systemu wsparcia.</w:t>
      </w:r>
    </w:p>
    <w:p>
      <w:pPr>
        <w:pStyle w:val="Heading1"/>
        <w:numPr>
          <w:ilvl w:val="0"/>
          <w:numId w:val="46"/>
        </w:numPr>
        <w:jc w:val="both"/>
        <w:rPr>
          <w:color w:val="00204F"/>
          <w:sz w:val="28"/>
          <w:szCs w:val="28"/>
        </w:rPr>
      </w:pPr>
      <w:bookmarkStart w:id="37" w:name="_Toc211356430"/>
      <w:r>
        <w:rPr>
          <w:color w:val="00204F"/>
          <w:sz w:val="28"/>
          <w:szCs w:val="28"/>
        </w:rPr>
        <w:t>Podsumowanie diagnozy, wnioski i rekomendacje</w:t>
      </w:r>
      <w:bookmarkEnd w:id="37"/>
      <w:r>
        <w:rPr>
          <w:color w:val="00204F"/>
          <w:sz w:val="28"/>
          <w:szCs w:val="28"/>
        </w:rPr>
        <w:t xml:space="preserve"> </w:t>
      </w:r>
    </w:p>
    <w:p>
      <w:pPr>
        <w:pStyle w:val="Normal"/>
        <w:spacing w:lineRule="auto" w:line="360"/>
        <w:ind w:firstLine="708"/>
        <w:jc w:val="both"/>
        <w:rPr>
          <w:rFonts w:ascii="Arial" w:hAnsi="Arial" w:cs="Arial"/>
        </w:rPr>
      </w:pPr>
      <w:r>
        <w:rPr>
          <w:rFonts w:cs="Arial" w:ascii="Arial" w:hAnsi="Arial"/>
        </w:rPr>
        <w:t xml:space="preserve">Diagnoza sytuacji społeczno-gospodarczej Gminy Bychawa wyraźnie wskazuje na kluczowe wyzwania demograficzne i społeczne, które determinują pilną potrzebę rozwoju zintegrowanego systemu usług społecznych. Podstawowym zjawiskiem jest nieprzerwany trend depopulacyjny, w wyniku którego liczba mieszkańców w ciągu ostatniej dekady spadła o ponad 11%, a prognozy sugerują dalsze zmniejszanie się populacji poniżej 10 tysięcy osób do 2030 roku. </w:t>
      </w:r>
    </w:p>
    <w:p>
      <w:pPr>
        <w:pStyle w:val="Normal"/>
        <w:spacing w:lineRule="auto" w:line="360"/>
        <w:ind w:firstLine="708"/>
        <w:jc w:val="both"/>
        <w:rPr>
          <w:rFonts w:ascii="Arial" w:hAnsi="Arial" w:cs="Arial"/>
        </w:rPr>
      </w:pPr>
      <w:r>
        <w:rPr>
          <w:rFonts w:cs="Arial" w:ascii="Arial" w:hAnsi="Arial"/>
        </w:rPr>
        <w:t xml:space="preserve">Proces ten idzie w parze z zaawansowanym starzeniem się społeczeństwa, co wizualnie odzwierciedla transformacja piramidy wieku z kształtu trapezoidalnego </w:t>
        <w:br/>
        <w:t xml:space="preserve">w strukturę przypominającą "gruszkę", gdzie najliczniejszą grupę stanowią osoby </w:t>
        <w:br/>
        <w:t xml:space="preserve">w wieku 65 lat i więcej. Szczególnie zaawansowany proces starzenia się populacji obserwuje się na obszarach wiejskich, co stanowi dodatkowe wyzwanie logistyczne </w:t>
        <w:br/>
        <w:t>i organizacyjne dla organizowania i dostarczania usług tej kategorii osób.</w:t>
      </w:r>
    </w:p>
    <w:p>
      <w:pPr>
        <w:pStyle w:val="Normal"/>
        <w:spacing w:lineRule="auto" w:line="360"/>
        <w:ind w:firstLine="708"/>
        <w:jc w:val="both"/>
        <w:rPr>
          <w:rFonts w:ascii="Arial" w:hAnsi="Arial" w:cs="Arial"/>
        </w:rPr>
      </w:pPr>
      <w:r>
        <w:rPr>
          <w:rFonts w:cs="Arial" w:ascii="Arial" w:hAnsi="Arial"/>
        </w:rPr>
        <w:t>Sytuację socjoekonomiczną mieszkańców charakteryzują znaczące ograniczenia, które bezpośrednio przekładają się na konieczność wsparcia finansowego jako priorytetu przed ofertą usług społecznych.</w:t>
      </w:r>
    </w:p>
    <w:p>
      <w:pPr>
        <w:pStyle w:val="Normal"/>
        <w:spacing w:lineRule="auto" w:line="360"/>
        <w:ind w:firstLine="708"/>
        <w:jc w:val="both"/>
        <w:rPr>
          <w:rFonts w:ascii="Arial" w:hAnsi="Arial" w:cs="Arial"/>
        </w:rPr>
      </w:pPr>
      <w:r>
        <w:rPr>
          <w:rFonts w:cs="Arial" w:ascii="Arial" w:hAnsi="Arial"/>
        </w:rPr>
        <w:t>Bezpośredni głos mieszkańców, zebrany w badaniach ankietowych, potwierdza te obiektywne dane i precyzyjnie wskazuje priorytetowe obszary wsparcia. Mieszkańcy najwyraźniej sygnalizują zapotrzebowanie na usługi skierowane do osób niepełnosprawnych i ich rodzin (47% wskazań), wsparcie dla rodzin (43%), usługi w obszarze ochrony zdrowia (43%) oraz kompleksową pomoc dla seniorów (38%).</w:t>
      </w:r>
    </w:p>
    <w:p>
      <w:pPr>
        <w:pStyle w:val="Normal"/>
        <w:spacing w:lineRule="auto" w:line="360" w:before="0" w:after="0"/>
        <w:ind w:firstLine="708"/>
        <w:jc w:val="both"/>
        <w:rPr>
          <w:rFonts w:ascii="Arial" w:hAnsi="Arial" w:eastAsia="Times New Roman" w:cs="Arial"/>
          <w:kern w:val="0"/>
          <w:highlight w:val="yellow"/>
          <w:lang w:eastAsia="pl-PL"/>
          <w14:ligatures w14:val="none"/>
        </w:rPr>
      </w:pPr>
      <w:r>
        <w:rPr>
          <w:rFonts w:cs="Arial" w:ascii="Arial" w:hAnsi="Arial"/>
        </w:rPr>
        <w:t>Jednocześnie badania ujawniły niską świadomość istnienia i definicji usług społecznych – 60% badanych deklaruje, że z nich nie korzysta, a 23% nie jest pewnych, czy to, z czego korzysta, kwalifikuje się jako usługa społeczna.</w:t>
      </w:r>
    </w:p>
    <w:p>
      <w:pPr>
        <w:pStyle w:val="Normal"/>
        <w:spacing w:lineRule="auto" w:line="360"/>
        <w:ind w:firstLine="708"/>
        <w:jc w:val="both"/>
        <w:rPr>
          <w:rFonts w:ascii="Arial" w:hAnsi="Arial" w:cs="Arial"/>
        </w:rPr>
      </w:pPr>
      <w:r>
        <w:rPr>
          <w:rFonts w:cs="Arial" w:ascii="Arial" w:hAnsi="Arial"/>
        </w:rPr>
        <w:t>Paradoksalnie, aż 61% respondentów deklaruje zainteresowanie skorzystaniem z takich usług, gdyby zostały one zapewnione, co wskazuje na istnienie "uśpionego" popytu i ogromny potencjał do zagospodarowania.</w:t>
      </w:r>
    </w:p>
    <w:p>
      <w:pPr>
        <w:pStyle w:val="Normal"/>
        <w:spacing w:lineRule="auto" w:line="360"/>
        <w:ind w:firstLine="708"/>
        <w:jc w:val="both"/>
        <w:rPr>
          <w:rFonts w:ascii="Arial" w:hAnsi="Arial" w:cs="Arial"/>
        </w:rPr>
      </w:pPr>
      <w:r>
        <w:rPr>
          <w:rFonts w:cs="Arial" w:ascii="Arial" w:hAnsi="Arial"/>
        </w:rPr>
        <w:t xml:space="preserve">Konkretne oczekiwania mieszkańców są bardzo szczegółowe. W obszarze senioralnym dominuje zapotrzebowanie na opiekę w domu (79%), transport (47%) </w:t>
        <w:br/>
        <w:t xml:space="preserve">i usługi gospodarcze (42%). Dla osób niepełnosprawnych kluczowe jest wsparcie adaptacyjne (55%) i rehabilitacja społeczna (53%). Rodziny oczekują przede wszystkim poradnictwa specjalistycznego (71%) oraz grup wsparcia (65%), </w:t>
        <w:br/>
        <w:t xml:space="preserve">a w kontekście dzieci – rozwoju uzdolnień (67%) i pomocy w wyrównywaniu braków szkolnych (52%). </w:t>
      </w:r>
    </w:p>
    <w:p>
      <w:pPr>
        <w:pStyle w:val="Normal"/>
        <w:spacing w:lineRule="auto" w:line="360"/>
        <w:ind w:firstLine="708"/>
        <w:jc w:val="both"/>
        <w:rPr>
          <w:rFonts w:ascii="Arial" w:hAnsi="Arial" w:cs="Arial"/>
        </w:rPr>
      </w:pPr>
      <w:r>
        <w:rPr>
          <w:rFonts w:cs="Arial" w:ascii="Arial" w:hAnsi="Arial"/>
        </w:rPr>
        <w:t>Diagnoza potencjału instytucjonalnego gminy wskazuje zaś, że obecny system wsparcia, skoncentrowany głównie wokół Ośrodka Pomocy Społecznej, oferuje jedynie wąski katalog usług, niewystarczający wobec skali i złożoności zidentyfikowanych potrzeb.</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Przeprowadzona diagnoza jednoznacznie wskazuje, że Gmina Bychawa stoi w obliczu narastających wyzwań demograficznych i społecznych – depopulacji, starzenia się mieszkańców, trudności ekonomicznych oraz niedostatecznego dostępu do usług społecznych. Jednocześnie mieszkańcy deklarują gotowość do korzystania z profesjonalnego wsparcia oraz jasno określają obszary, w których usługi są najbardziej potrzebne. Powstające Centrum Usług Społecznych ma szansę stać się kluczowym koordynatorem działań odpowiadających na te potrzeby.</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1. Kluczowe wnioski z diagnozy</w:t>
      </w:r>
    </w:p>
    <w:p>
      <w:pPr>
        <w:pStyle w:val="ListParagraph"/>
        <w:numPr>
          <w:ilvl w:val="0"/>
          <w:numId w:val="86"/>
        </w:numPr>
        <w:spacing w:lineRule="auto" w:line="360" w:beforeAutospacing="1" w:after="0"/>
        <w:contextualSpacing/>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Depopulacja i starzenie się społeczeństwa</w:t>
      </w:r>
      <w:r>
        <w:rPr>
          <w:rFonts w:eastAsia="Times New Roman" w:cs="Arial" w:ascii="Arial" w:hAnsi="Arial"/>
          <w:kern w:val="0"/>
          <w:lang w:eastAsia="pl-PL"/>
          <w14:ligatures w14:val="none"/>
        </w:rPr>
        <w:t xml:space="preserve"> – w ciągu ostatnich 10 lat liczba mieszkańców spadła o ponad 11%, a piramida wieku przyjmuje charakterystyczny kształt „gruszki” z dominacją osób 65+. Zjawisko to jest szczególnie nasilone na obszarach wiejskich.</w:t>
      </w:r>
    </w:p>
    <w:p>
      <w:pPr>
        <w:pStyle w:val="ListParagraph"/>
        <w:numPr>
          <w:ilvl w:val="0"/>
          <w:numId w:val="86"/>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Rosnące potrzeby opiekuńcze i asystenckie</w:t>
      </w:r>
      <w:r>
        <w:rPr>
          <w:rFonts w:eastAsia="Times New Roman" w:cs="Arial" w:ascii="Arial" w:hAnsi="Arial"/>
          <w:kern w:val="0"/>
          <w:lang w:eastAsia="pl-PL"/>
          <w14:ligatures w14:val="none"/>
        </w:rPr>
        <w:t xml:space="preserve"> – mieszkańcy najczęściej wskazują zapotrzebowanie na usługi dla seniorów, osób niepełnosprawnych, wsparcie rodzin oraz usługi zdrowotne.</w:t>
      </w:r>
    </w:p>
    <w:p>
      <w:pPr>
        <w:pStyle w:val="ListParagraph"/>
        <w:numPr>
          <w:ilvl w:val="0"/>
          <w:numId w:val="86"/>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Niska świadomość usług społecznych</w:t>
      </w:r>
      <w:r>
        <w:rPr>
          <w:rFonts w:eastAsia="Times New Roman" w:cs="Arial" w:ascii="Arial" w:hAnsi="Arial"/>
          <w:kern w:val="0"/>
          <w:lang w:eastAsia="pl-PL"/>
          <w14:ligatures w14:val="none"/>
        </w:rPr>
        <w:t xml:space="preserve"> – ponad 80% badanych nie wie, czy korzysta z usług społecznych lub uważa, że z nich nie korzysta.</w:t>
      </w:r>
    </w:p>
    <w:p>
      <w:pPr>
        <w:pStyle w:val="ListParagraph"/>
        <w:numPr>
          <w:ilvl w:val="0"/>
          <w:numId w:val="86"/>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Istnienie ukrytego popytu</w:t>
      </w:r>
      <w:r>
        <w:rPr>
          <w:rFonts w:eastAsia="Times New Roman" w:cs="Arial" w:ascii="Arial" w:hAnsi="Arial"/>
          <w:kern w:val="0"/>
          <w:lang w:eastAsia="pl-PL"/>
          <w14:ligatures w14:val="none"/>
        </w:rPr>
        <w:t xml:space="preserve"> – 61% mieszkańców deklaruje gotowość korzystania z usług, jeśli będą odpowiednio zorganizowane i dostępne.</w:t>
      </w:r>
    </w:p>
    <w:p>
      <w:pPr>
        <w:pStyle w:val="ListParagraph"/>
        <w:numPr>
          <w:ilvl w:val="0"/>
          <w:numId w:val="86"/>
        </w:numPr>
        <w:spacing w:lineRule="auto" w:line="360" w:before="0" w:after="0"/>
        <w:contextualSpacing/>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Ograniczony katalog dotychczasowych usług</w:t>
      </w:r>
      <w:r>
        <w:rPr>
          <w:rFonts w:eastAsia="Times New Roman" w:cs="Arial" w:ascii="Arial" w:hAnsi="Arial"/>
          <w:kern w:val="0"/>
          <w:lang w:eastAsia="pl-PL"/>
          <w14:ligatures w14:val="none"/>
        </w:rPr>
        <w:t xml:space="preserve"> – obecny system wsparcia opiera się głównie na Ośrodku Pomocy Społecznej i nie obejmuje usług odpowiadających na złożoność zidentyfikowanych potrzeb.</w:t>
      </w:r>
    </w:p>
    <w:p>
      <w:pPr>
        <w:pStyle w:val="ListParagraph"/>
        <w:numPr>
          <w:ilvl w:val="0"/>
          <w:numId w:val="86"/>
        </w:numPr>
        <w:spacing w:lineRule="auto" w:line="360" w:before="0" w:afterAutospacing="1"/>
        <w:contextualSpacing/>
        <w:jc w:val="both"/>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Potrzeba budowania partnerstw lokalnych</w:t>
      </w:r>
      <w:r>
        <w:rPr>
          <w:rFonts w:eastAsia="Times New Roman" w:cs="Arial" w:ascii="Arial" w:hAnsi="Arial"/>
          <w:kern w:val="0"/>
          <w:lang w:eastAsia="pl-PL"/>
          <w14:ligatures w14:val="none"/>
        </w:rPr>
        <w:t xml:space="preserve"> – rozwój usług wymaga współpracy z organizacjami społecznymi, sektorem prywatnym i wolontariatem.</w:t>
      </w:r>
    </w:p>
    <w:p>
      <w:pPr>
        <w:pStyle w:val="Normal"/>
        <w:numPr>
          <w:ilvl w:val="0"/>
          <w:numId w:val="0"/>
        </w:numPr>
        <w:spacing w:lineRule="auto" w:line="360" w:beforeAutospacing="1" w:afterAutospacing="1"/>
        <w:ind w:hanging="0" w:left="0"/>
        <w:jc w:val="left"/>
        <w:outlineLvl w:val="0"/>
        <w:rPr>
          <w:rFonts w:ascii="Arial" w:hAnsi="Arial" w:eastAsia="Times New Roman" w:cs="Arial"/>
          <w:b/>
          <w:bCs/>
          <w:kern w:val="2"/>
          <w:lang w:eastAsia="pl-PL"/>
          <w14:ligatures w14:val="none"/>
        </w:rPr>
      </w:pPr>
      <w:r>
        <w:rPr>
          <w:rFonts w:eastAsia="Times New Roman" w:cs="Arial" w:ascii="Arial" w:hAnsi="Arial"/>
          <w:b/>
          <w:bCs/>
          <w:kern w:val="2"/>
          <w:lang w:eastAsia="pl-PL"/>
          <w14:ligatures w14:val="none"/>
        </w:rPr>
        <w:t>2. Rekomendacje – Priorytetowe kierunki rozwoju usług społecznych</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Poniższe rekomendacje obejmują najważniejsze obszary polityki społecznej wskazane w diagnozie: politykę prorodzinną, wspieranie rodziny, profilaktykę i  ochronę zdrowia, wsparcie osób niepełnosprawnych oraz wzmacnianie aktywności obywatelskiej.</w:t>
      </w:r>
    </w:p>
    <w:p>
      <w:pPr>
        <w:pStyle w:val="Normal"/>
        <w:numPr>
          <w:ilvl w:val="0"/>
          <w:numId w:val="0"/>
        </w:numPr>
        <w:spacing w:lineRule="auto" w:line="360" w:beforeAutospacing="1" w:afterAutospacing="1"/>
        <w:ind w:hanging="0" w:left="0"/>
        <w:jc w:val="left"/>
        <w:outlineLvl w:val="0"/>
        <w:rPr>
          <w:rFonts w:ascii="Arial" w:hAnsi="Arial" w:eastAsia="Times New Roman" w:cs="Arial"/>
          <w:b/>
          <w:bCs/>
          <w:kern w:val="2"/>
          <w:lang w:eastAsia="pl-PL"/>
          <w14:ligatures w14:val="none"/>
        </w:rPr>
      </w:pPr>
      <w:r>
        <w:rPr>
          <w:rFonts w:eastAsia="Times New Roman" w:cs="Arial" w:ascii="Arial" w:hAnsi="Arial"/>
          <w:b/>
          <w:bCs/>
          <w:kern w:val="2"/>
          <w:lang w:eastAsia="pl-PL"/>
          <w14:ligatures w14:val="none"/>
        </w:rPr>
        <w:t xml:space="preserve">A. </w:t>
      </w:r>
      <w:r>
        <w:rPr>
          <w:rFonts w:eastAsia="Times New Roman" w:cs="Arial" w:ascii="Arial" w:hAnsi="Arial"/>
          <w:b/>
          <w:bCs/>
          <w:kern w:val="2"/>
          <w:lang w:eastAsia="pl-PL"/>
          <w14:ligatures w14:val="none"/>
        </w:rPr>
        <w:t>Polityka prorodzinna i wspieranie rodziny</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Priorytetowe usługi:</w:t>
      </w:r>
    </w:p>
    <w:p>
      <w:pPr>
        <w:pStyle w:val="Normal"/>
        <w:numPr>
          <w:ilvl w:val="0"/>
          <w:numId w:val="87"/>
        </w:numPr>
        <w:spacing w:lineRule="auto" w:line="360" w:beforeAutospacing="1" w:after="0"/>
        <w:jc w:val="left"/>
        <w:rPr>
          <w:rFonts w:ascii="Arial" w:hAnsi="Arial" w:eastAsia="Times New Roman" w:cs="Arial"/>
          <w:b w:val="false"/>
          <w:bCs w:val="false"/>
          <w:kern w:val="0"/>
          <w:lang w:eastAsia="pl-PL"/>
          <w14:ligatures w14:val="none"/>
        </w:rPr>
      </w:pPr>
      <w:r>
        <w:rPr>
          <w:rFonts w:eastAsia="Times New Roman" w:cs="Arial" w:ascii="Arial" w:hAnsi="Arial"/>
          <w:b/>
          <w:bCs/>
          <w:kern w:val="0"/>
          <w:lang w:eastAsia="pl-PL"/>
          <w14:ligatures w14:val="none"/>
        </w:rPr>
        <w:t>Poradnictwo psychologiczne i terapeutyczne</w:t>
      </w:r>
      <w:r>
        <w:rPr>
          <w:rFonts w:eastAsia="Times New Roman" w:cs="Arial" w:ascii="Arial" w:hAnsi="Arial"/>
          <w:b w:val="false"/>
          <w:bCs w:val="false"/>
          <w:kern w:val="0"/>
          <w:lang w:eastAsia="pl-PL"/>
          <w14:ligatures w14:val="none"/>
        </w:rPr>
        <w:t>.</w:t>
      </w:r>
    </w:p>
    <w:p>
      <w:pPr>
        <w:pStyle w:val="Normal"/>
        <w:numPr>
          <w:ilvl w:val="0"/>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Warsztaty integracji międzypokoleniowej</w:t>
      </w:r>
      <w:r>
        <w:rPr>
          <w:rFonts w:eastAsia="Times New Roman" w:cs="Arial" w:ascii="Arial" w:hAnsi="Arial"/>
          <w:kern w:val="0"/>
          <w:lang w:eastAsia="pl-PL"/>
          <w14:ligatures w14:val="none"/>
        </w:rPr>
        <w:t xml:space="preserve"> – w tym wyjazdowe.</w:t>
      </w:r>
    </w:p>
    <w:p>
      <w:pPr>
        <w:pStyle w:val="Normal"/>
        <w:numPr>
          <w:ilvl w:val="0"/>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Wydarzenia lokalne</w:t>
      </w:r>
      <w:r>
        <w:rPr>
          <w:rFonts w:eastAsia="Times New Roman" w:cs="Arial" w:ascii="Arial" w:hAnsi="Arial"/>
          <w:kern w:val="0"/>
          <w:lang w:eastAsia="pl-PL"/>
          <w14:ligatures w14:val="none"/>
        </w:rPr>
        <w:t xml:space="preserve">- w zakresie </w:t>
      </w:r>
      <w:r>
        <w:rPr>
          <w:rFonts w:cs="Arial" w:ascii="Arial" w:hAnsi="Arial"/>
        </w:rPr>
        <w:t>wzmocnienia więzi rodzinnych oraz wsparcia rodziców i dzieci w budowaniu harmonijnych relacji.</w:t>
      </w:r>
    </w:p>
    <w:p>
      <w:pPr>
        <w:pStyle w:val="Normal"/>
        <w:numPr>
          <w:ilvl w:val="0"/>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Warsztaty: muzykoterapii, choreoterapii, zdrowego stylu życia, teatralne</w:t>
      </w:r>
    </w:p>
    <w:p>
      <w:pPr>
        <w:pStyle w:val="Normal"/>
        <w:numPr>
          <w:ilvl w:val="0"/>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 xml:space="preserve">Warsztaty plenerowe- </w:t>
      </w:r>
      <w:r>
        <w:rPr>
          <w:rFonts w:eastAsia="Times New Roman" w:cs="Arial" w:ascii="Arial" w:hAnsi="Arial"/>
          <w:kern w:val="0"/>
          <w:lang w:eastAsia="pl-PL"/>
          <w14:ligatures w14:val="none"/>
        </w:rPr>
        <w:t>Strefa ART,</w:t>
      </w:r>
      <w:r>
        <w:rPr>
          <w:rFonts w:eastAsia="Times New Roman" w:cs="Arial" w:ascii="Arial" w:hAnsi="Arial"/>
          <w:b/>
          <w:bCs/>
          <w:kern w:val="0"/>
          <w:lang w:eastAsia="pl-PL"/>
          <w14:ligatures w14:val="none"/>
        </w:rPr>
        <w:t xml:space="preserve"> </w:t>
      </w:r>
      <w:r>
        <w:rPr>
          <w:rFonts w:cs="Arial" w:ascii="Arial" w:hAnsi="Arial"/>
        </w:rPr>
        <w:t>Zero Waste, Eko-kuchnia, Czysta planeta, Gra terenowa,  Rower – twój przyjaciel na dwóch kołach</w:t>
      </w:r>
      <w:r>
        <w:rPr>
          <w:rFonts w:eastAsia="Times New Roman" w:cs="Arial" w:ascii="Arial" w:hAnsi="Arial"/>
          <w:kern w:val="0"/>
          <w:lang w:eastAsia="pl-PL"/>
          <w14:ligatures w14:val="none"/>
        </w:rPr>
        <w:t>.</w:t>
      </w:r>
    </w:p>
    <w:p>
      <w:pPr>
        <w:pStyle w:val="Normal"/>
        <w:numPr>
          <w:ilvl w:val="0"/>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Poradnictwo prawne</w:t>
      </w:r>
      <w:r>
        <w:rPr>
          <w:rFonts w:eastAsia="Times New Roman" w:cs="Arial" w:ascii="Arial" w:hAnsi="Arial"/>
          <w:kern w:val="0"/>
          <w:lang w:eastAsia="pl-PL"/>
          <w14:ligatures w14:val="none"/>
        </w:rPr>
        <w:t xml:space="preserve"> dotyczące sytuacji rodzinnych, wychowawczych i kryzysowych, przemocy domowej.</w:t>
      </w:r>
    </w:p>
    <w:p>
      <w:pPr>
        <w:pStyle w:val="Normal"/>
        <w:numPr>
          <w:ilvl w:val="0"/>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Zajęcia wspierające rozwój dzieci</w:t>
      </w:r>
      <w:r>
        <w:rPr>
          <w:rFonts w:eastAsia="Times New Roman" w:cs="Arial" w:ascii="Arial" w:hAnsi="Arial"/>
          <w:kern w:val="0"/>
          <w:lang w:eastAsia="pl-PL"/>
          <w14:ligatures w14:val="none"/>
        </w:rPr>
        <w:t>, w tym:</w:t>
      </w:r>
    </w:p>
    <w:p>
      <w:pPr>
        <w:pStyle w:val="Normal"/>
        <w:numPr>
          <w:ilvl w:val="1"/>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zajęcia korekcyjno-kompensacyjne,</w:t>
      </w:r>
    </w:p>
    <w:p>
      <w:pPr>
        <w:pStyle w:val="Normal"/>
        <w:numPr>
          <w:ilvl w:val="1"/>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zajęcia specjalistyczne,</w:t>
      </w:r>
    </w:p>
    <w:p>
      <w:pPr>
        <w:pStyle w:val="Normal"/>
        <w:numPr>
          <w:ilvl w:val="1"/>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zajęcia logopedyczne,</w:t>
      </w:r>
    </w:p>
    <w:p>
      <w:pPr>
        <w:pStyle w:val="Normal"/>
        <w:numPr>
          <w:ilvl w:val="1"/>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treningi umiejętności społecznych,</w:t>
      </w:r>
    </w:p>
    <w:p>
      <w:pPr>
        <w:pStyle w:val="Normal"/>
        <w:numPr>
          <w:ilvl w:val="1"/>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rozwijania talentów i zainteresowań.</w:t>
      </w:r>
    </w:p>
    <w:p>
      <w:pPr>
        <w:pStyle w:val="Normal"/>
        <w:numPr>
          <w:ilvl w:val="0"/>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Utworzenie i rozwój sieci Placówek Wsparcia Dziennego</w:t>
      </w:r>
      <w:r>
        <w:rPr>
          <w:rFonts w:eastAsia="Times New Roman" w:cs="Arial" w:ascii="Arial" w:hAnsi="Arial"/>
          <w:b w:val="false"/>
          <w:bCs w:val="false"/>
          <w:kern w:val="0"/>
          <w:lang w:eastAsia="pl-PL"/>
          <w14:ligatures w14:val="none"/>
        </w:rPr>
        <w:t>.</w:t>
      </w:r>
      <w:r>
        <w:rPr>
          <w:rFonts w:eastAsia="Times New Roman" w:cs="Arial" w:ascii="Arial" w:hAnsi="Arial"/>
          <w:kern w:val="0"/>
          <w:lang w:eastAsia="pl-PL"/>
          <w14:ligatures w14:val="none"/>
        </w:rPr>
        <w:t xml:space="preserve"> </w:t>
      </w:r>
    </w:p>
    <w:p>
      <w:pPr>
        <w:pStyle w:val="Normal"/>
        <w:numPr>
          <w:ilvl w:val="0"/>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Warsztaty i programy wzmacniające kompetencje rodzicielskie</w:t>
      </w:r>
      <w:r>
        <w:rPr>
          <w:rFonts w:eastAsia="Times New Roman" w:cs="Arial" w:ascii="Arial" w:hAnsi="Arial"/>
          <w:kern w:val="0"/>
          <w:lang w:eastAsia="pl-PL"/>
          <w14:ligatures w14:val="none"/>
        </w:rPr>
        <w:t xml:space="preserve"> – budowanie więzi, komunikacja, radzenie sobie ze stresem.</w:t>
      </w:r>
    </w:p>
    <w:p>
      <w:pPr>
        <w:pStyle w:val="Normal"/>
        <w:numPr>
          <w:ilvl w:val="0"/>
          <w:numId w:val="8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Poradnictwo prawne</w:t>
      </w:r>
      <w:r>
        <w:rPr>
          <w:rFonts w:eastAsia="Times New Roman" w:cs="Arial" w:ascii="Arial" w:hAnsi="Arial"/>
          <w:kern w:val="0"/>
          <w:lang w:eastAsia="pl-PL"/>
          <w14:ligatures w14:val="none"/>
        </w:rPr>
        <w:t xml:space="preserve"> dotyczące sytuacji rodzinnych, wychowawczych i kryzysowych, przemocy domowej.</w:t>
      </w:r>
    </w:p>
    <w:p>
      <w:pPr>
        <w:pStyle w:val="Normal"/>
        <w:numPr>
          <w:ilvl w:val="0"/>
          <w:numId w:val="87"/>
        </w:numPr>
        <w:spacing w:lineRule="auto" w:line="360" w:before="0" w:afterAutospacing="1"/>
        <w:jc w:val="left"/>
        <w:rPr>
          <w:rFonts w:ascii="Arial" w:hAnsi="Arial" w:eastAsia="Times New Roman" w:cs="Arial"/>
          <w:b w:val="false"/>
          <w:bCs w:val="false"/>
          <w:kern w:val="0"/>
          <w:lang w:eastAsia="pl-PL"/>
          <w14:ligatures w14:val="none"/>
        </w:rPr>
      </w:pPr>
      <w:r>
        <w:rPr>
          <w:rFonts w:eastAsia="Times New Roman" w:cs="Arial" w:ascii="Arial" w:hAnsi="Arial"/>
          <w:b/>
          <w:bCs/>
          <w:kern w:val="0"/>
          <w:lang w:eastAsia="pl-PL"/>
          <w14:ligatures w14:val="none"/>
        </w:rPr>
        <w:t>Zajęcia i warsztaty dla dzieci o szczególnych potrzebach edukacyjnych</w:t>
      </w:r>
      <w:r>
        <w:rPr>
          <w:rFonts w:eastAsia="Times New Roman" w:cs="Arial" w:ascii="Arial" w:hAnsi="Arial"/>
          <w:b w:val="false"/>
          <w:bCs w:val="false"/>
          <w:kern w:val="0"/>
          <w:lang w:eastAsia="pl-PL"/>
          <w14:ligatures w14:val="none"/>
        </w:rPr>
        <w:t>.</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Długoterminowe działania:</w:t>
      </w:r>
    </w:p>
    <w:p>
      <w:pPr>
        <w:pStyle w:val="Normal"/>
        <w:numPr>
          <w:ilvl w:val="0"/>
          <w:numId w:val="88"/>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Zwiększenie liczby miejsc opieki nad dziećmi do lat 3</w:t>
      </w:r>
      <w:r>
        <w:rPr>
          <w:rFonts w:eastAsia="Times New Roman" w:cs="Arial" w:ascii="Arial" w:hAnsi="Arial"/>
          <w:kern w:val="0"/>
          <w:lang w:eastAsia="pl-PL"/>
          <w14:ligatures w14:val="none"/>
        </w:rPr>
        <w:t xml:space="preserve"> (żłobki, kluby dziecięce).</w:t>
      </w:r>
    </w:p>
    <w:p>
      <w:pPr>
        <w:pStyle w:val="Normal"/>
        <w:numPr>
          <w:ilvl w:val="0"/>
          <w:numId w:val="88"/>
        </w:numPr>
        <w:spacing w:lineRule="auto" w:line="360" w:before="0" w:afterAutospacing="1"/>
        <w:jc w:val="left"/>
        <w:rPr>
          <w:rFonts w:ascii="Arial" w:hAnsi="Arial" w:eastAsia="Times New Roman" w:cs="Arial"/>
          <w:b w:val="false"/>
          <w:bCs w:val="false"/>
          <w:kern w:val="0"/>
          <w:lang w:eastAsia="pl-PL"/>
          <w14:ligatures w14:val="none"/>
        </w:rPr>
      </w:pPr>
      <w:r>
        <w:rPr>
          <w:rFonts w:eastAsia="Times New Roman" w:cs="Arial" w:ascii="Arial" w:hAnsi="Arial"/>
          <w:b/>
          <w:bCs/>
          <w:kern w:val="0"/>
          <w:lang w:eastAsia="pl-PL"/>
          <w14:ligatures w14:val="none"/>
        </w:rPr>
        <w:t>Wsparcie szkół i przedszkoli o ofertę dodatkowych zajęć specjalistycznych</w:t>
      </w:r>
      <w:r>
        <w:rPr>
          <w:rFonts w:eastAsia="Times New Roman" w:cs="Arial" w:ascii="Arial" w:hAnsi="Arial"/>
          <w:b w:val="false"/>
          <w:bCs w:val="false"/>
          <w:kern w:val="0"/>
          <w:lang w:eastAsia="pl-PL"/>
          <w14:ligatures w14:val="none"/>
        </w:rPr>
        <w:t>.</w:t>
      </w:r>
    </w:p>
    <w:p>
      <w:pPr>
        <w:pStyle w:val="Normal"/>
        <w:numPr>
          <w:ilvl w:val="0"/>
          <w:numId w:val="0"/>
        </w:numPr>
        <w:spacing w:lineRule="auto" w:line="360" w:beforeAutospacing="1" w:afterAutospacing="1"/>
        <w:ind w:hanging="0" w:left="0"/>
        <w:jc w:val="left"/>
        <w:outlineLvl w:val="0"/>
        <w:rPr>
          <w:rFonts w:ascii="Arial" w:hAnsi="Arial" w:eastAsia="Times New Roman" w:cs="Arial"/>
          <w:b/>
          <w:bCs/>
          <w:kern w:val="2"/>
          <w:lang w:eastAsia="pl-PL"/>
          <w14:ligatures w14:val="none"/>
        </w:rPr>
      </w:pPr>
      <w:r>
        <w:rPr>
          <w:rFonts w:eastAsia="Times New Roman" w:cs="Arial" w:ascii="Arial" w:hAnsi="Arial"/>
          <w:b/>
          <w:bCs/>
          <w:kern w:val="2"/>
          <w:lang w:eastAsia="pl-PL"/>
          <w14:ligatures w14:val="none"/>
        </w:rPr>
        <w:t xml:space="preserve">B. </w:t>
      </w:r>
      <w:r>
        <w:rPr>
          <w:rFonts w:eastAsia="Times New Roman" w:cs="Arial" w:ascii="Arial" w:hAnsi="Arial"/>
          <w:b/>
          <w:bCs/>
          <w:kern w:val="2"/>
          <w:lang w:eastAsia="pl-PL"/>
          <w14:ligatures w14:val="none"/>
        </w:rPr>
        <w:t>Promocja i ochrona zdrowia</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Priorytetowe usługi:</w:t>
      </w:r>
    </w:p>
    <w:p>
      <w:pPr>
        <w:pStyle w:val="Normal"/>
        <w:numPr>
          <w:ilvl w:val="0"/>
          <w:numId w:val="91"/>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Utworzenie wypożyczalni sprzętu wspomagająco-pielęgnacyjnego</w:t>
      </w:r>
      <w:r>
        <w:rPr>
          <w:rFonts w:eastAsia="Times New Roman" w:cs="Arial" w:ascii="Arial" w:hAnsi="Arial"/>
          <w:kern w:val="0"/>
          <w:lang w:eastAsia="pl-PL"/>
          <w14:ligatures w14:val="none"/>
        </w:rPr>
        <w:t xml:space="preserve"> (sprzęt ortopedyczny, rehabilitacyjny, pomocniczy).</w:t>
      </w:r>
    </w:p>
    <w:p>
      <w:pPr>
        <w:pStyle w:val="Normal"/>
        <w:numPr>
          <w:ilvl w:val="0"/>
          <w:numId w:val="89"/>
        </w:numPr>
        <w:spacing w:lineRule="auto" w:line="360" w:before="0" w:after="0"/>
        <w:jc w:val="left"/>
        <w:rPr>
          <w:rFonts w:ascii="Arial" w:hAnsi="Arial" w:eastAsia="Times New Roman" w:cs="Arial"/>
          <w:b w:val="false"/>
          <w:bCs w:val="false"/>
          <w:kern w:val="0"/>
          <w:lang w:eastAsia="pl-PL"/>
          <w14:ligatures w14:val="none"/>
        </w:rPr>
      </w:pPr>
      <w:r>
        <w:rPr>
          <w:rFonts w:eastAsia="Times New Roman" w:cs="Arial" w:ascii="Arial" w:hAnsi="Arial"/>
          <w:b/>
          <w:bCs/>
          <w:kern w:val="0"/>
          <w:lang w:eastAsia="pl-PL"/>
          <w14:ligatures w14:val="none"/>
        </w:rPr>
        <w:t>Warsztaty zdrowego stylu życia</w:t>
      </w:r>
      <w:r>
        <w:rPr>
          <w:rFonts w:eastAsia="Times New Roman" w:cs="Arial" w:ascii="Arial" w:hAnsi="Arial"/>
          <w:b w:val="false"/>
          <w:bCs w:val="false"/>
          <w:kern w:val="0"/>
          <w:lang w:eastAsia="pl-PL"/>
          <w14:ligatures w14:val="none"/>
        </w:rPr>
        <w:t>.</w:t>
      </w:r>
    </w:p>
    <w:p>
      <w:pPr>
        <w:pStyle w:val="Normal"/>
        <w:numPr>
          <w:ilvl w:val="0"/>
          <w:numId w:val="89"/>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Usługi  usprawniające</w:t>
      </w:r>
      <w:r>
        <w:rPr>
          <w:rFonts w:eastAsia="Times New Roman" w:cs="Arial" w:ascii="Arial" w:hAnsi="Arial"/>
          <w:kern w:val="0"/>
          <w:lang w:eastAsia="pl-PL"/>
          <w14:ligatures w14:val="none"/>
        </w:rPr>
        <w:t>, w tym warsztaty manualne.</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Długoterminowe działania:</w:t>
      </w:r>
    </w:p>
    <w:p>
      <w:pPr>
        <w:pStyle w:val="Normal"/>
        <w:numPr>
          <w:ilvl w:val="0"/>
          <w:numId w:val="90"/>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Rozwój usług teleopieki i teleopasek medycznych</w:t>
      </w:r>
      <w:r>
        <w:rPr>
          <w:rFonts w:eastAsia="Times New Roman" w:cs="Arial" w:ascii="Arial" w:hAnsi="Arial"/>
          <w:kern w:val="0"/>
          <w:lang w:eastAsia="pl-PL"/>
          <w14:ligatures w14:val="none"/>
        </w:rPr>
        <w:t>, szczególnie dla seniorów.</w:t>
      </w:r>
    </w:p>
    <w:p>
      <w:pPr>
        <w:pStyle w:val="Normal"/>
        <w:numPr>
          <w:ilvl w:val="0"/>
          <w:numId w:val="90"/>
        </w:numPr>
        <w:spacing w:lineRule="auto" w:line="360" w:before="0" w:after="0"/>
        <w:jc w:val="left"/>
        <w:rPr>
          <w:rFonts w:ascii="Arial" w:hAnsi="Arial" w:eastAsia="Times New Roman" w:cs="Arial"/>
          <w:b w:val="false"/>
          <w:bCs w:val="false"/>
          <w:kern w:val="0"/>
          <w:lang w:eastAsia="pl-PL"/>
          <w14:ligatures w14:val="none"/>
        </w:rPr>
      </w:pPr>
      <w:r>
        <w:rPr>
          <w:rFonts w:eastAsia="Times New Roman" w:cs="Arial" w:ascii="Arial" w:hAnsi="Arial"/>
          <w:b/>
          <w:bCs/>
          <w:kern w:val="0"/>
          <w:lang w:eastAsia="pl-PL"/>
          <w14:ligatures w14:val="none"/>
        </w:rPr>
        <w:t>Usługi psychiatrii środowiskowej</w:t>
      </w:r>
      <w:r>
        <w:rPr>
          <w:rFonts w:eastAsia="Times New Roman" w:cs="Arial" w:ascii="Arial" w:hAnsi="Arial"/>
          <w:b w:val="false"/>
          <w:bCs w:val="false"/>
          <w:kern w:val="0"/>
          <w:lang w:eastAsia="pl-PL"/>
          <w14:ligatures w14:val="none"/>
        </w:rPr>
        <w:t>.</w:t>
      </w:r>
    </w:p>
    <w:p>
      <w:pPr>
        <w:pStyle w:val="Normal"/>
        <w:numPr>
          <w:ilvl w:val="0"/>
          <w:numId w:val="90"/>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Tworzenie stref sensorycznych dostępnych dla wszystkich mieszkańców w instytucjach i przestrzeni publicznej</w:t>
      </w:r>
      <w:r>
        <w:rPr>
          <w:rFonts w:eastAsia="Times New Roman" w:cs="Arial" w:ascii="Arial" w:hAnsi="Arial"/>
          <w:b w:val="false"/>
          <w:bCs w:val="false"/>
          <w:i w:val="false"/>
          <w:iCs w:val="false"/>
          <w:kern w:val="0"/>
          <w:lang w:eastAsia="pl-PL"/>
          <w14:ligatures w14:val="none"/>
        </w:rPr>
        <w:t>.</w:t>
      </w:r>
      <w:r>
        <w:rPr>
          <w:rFonts w:eastAsia="Times New Roman" w:cs="Arial" w:ascii="Arial" w:hAnsi="Arial"/>
          <w:b/>
          <w:bCs/>
          <w:kern w:val="0"/>
          <w:lang w:eastAsia="pl-PL"/>
          <w14:ligatures w14:val="none"/>
        </w:rPr>
        <w:t xml:space="preserve"> </w:t>
      </w:r>
    </w:p>
    <w:p>
      <w:pPr>
        <w:pStyle w:val="Normal"/>
        <w:numPr>
          <w:ilvl w:val="0"/>
          <w:numId w:val="0"/>
        </w:numPr>
        <w:spacing w:lineRule="auto" w:line="360" w:beforeAutospacing="1" w:afterAutospacing="1"/>
        <w:ind w:hanging="0" w:left="0"/>
        <w:jc w:val="left"/>
        <w:outlineLvl w:val="0"/>
        <w:rPr>
          <w:rFonts w:ascii="Arial" w:hAnsi="Arial" w:eastAsia="Times New Roman" w:cs="Arial"/>
          <w:b/>
          <w:bCs/>
          <w:kern w:val="2"/>
          <w:lang w:eastAsia="pl-PL"/>
          <w14:ligatures w14:val="none"/>
        </w:rPr>
      </w:pPr>
      <w:r>
        <w:rPr>
          <w:rFonts w:eastAsia="Times New Roman" w:cs="Arial" w:ascii="Arial" w:hAnsi="Arial"/>
          <w:b/>
          <w:bCs/>
          <w:kern w:val="2"/>
          <w:lang w:eastAsia="pl-PL"/>
          <w14:ligatures w14:val="none"/>
        </w:rPr>
        <w:t xml:space="preserve">C. </w:t>
      </w:r>
      <w:r>
        <w:rPr>
          <w:rFonts w:eastAsia="Times New Roman" w:cs="Arial" w:ascii="Arial" w:hAnsi="Arial"/>
          <w:b/>
          <w:bCs/>
          <w:kern w:val="2"/>
          <w:lang w:eastAsia="pl-PL"/>
          <w14:ligatures w14:val="none"/>
        </w:rPr>
        <w:t>Wspieranie osób niepełnosprawnych</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Priorytetowe usługi:</w:t>
      </w:r>
    </w:p>
    <w:p>
      <w:pPr>
        <w:pStyle w:val="Normal"/>
        <w:numPr>
          <w:ilvl w:val="0"/>
          <w:numId w:val="91"/>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Usługi Asystenta Osoby Niepełnosprawnej</w:t>
      </w:r>
      <w:r>
        <w:rPr>
          <w:rFonts w:eastAsia="Times New Roman" w:cs="Arial" w:ascii="Arial" w:hAnsi="Arial"/>
          <w:kern w:val="0"/>
          <w:lang w:eastAsia="pl-PL"/>
          <w14:ligatures w14:val="none"/>
        </w:rPr>
        <w:t xml:space="preserve"> – wsparcie w codziennym funkcjonowaniu</w:t>
      </w:r>
    </w:p>
    <w:p>
      <w:pPr>
        <w:pStyle w:val="Normal"/>
        <w:numPr>
          <w:ilvl w:val="0"/>
          <w:numId w:val="91"/>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Usługi opiekuńcze</w:t>
      </w:r>
      <w:r>
        <w:rPr>
          <w:rFonts w:eastAsia="Times New Roman" w:cs="Arial" w:ascii="Arial" w:hAnsi="Arial"/>
          <w:kern w:val="0"/>
          <w:lang w:eastAsia="pl-PL"/>
          <w14:ligatures w14:val="none"/>
        </w:rPr>
        <w:t xml:space="preserve"> realizowane w miejscu zamieszkania.</w:t>
      </w:r>
    </w:p>
    <w:p>
      <w:pPr>
        <w:pStyle w:val="Normal"/>
        <w:numPr>
          <w:ilvl w:val="0"/>
          <w:numId w:val="91"/>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Usługi opieki wytchnieniowej</w:t>
      </w:r>
    </w:p>
    <w:p>
      <w:pPr>
        <w:pStyle w:val="Normal"/>
        <w:numPr>
          <w:ilvl w:val="0"/>
          <w:numId w:val="91"/>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Usługa kompleksowego sprzątania mieszkania</w:t>
      </w:r>
      <w:r>
        <w:rPr>
          <w:rFonts w:eastAsia="Times New Roman" w:cs="Arial" w:ascii="Arial" w:hAnsi="Arial"/>
          <w:kern w:val="0"/>
          <w:lang w:eastAsia="pl-PL"/>
          <w14:ligatures w14:val="none"/>
        </w:rPr>
        <w:t xml:space="preserve"> dla osób samotnych, niesamodzielnych, objętych usługami opiekuńczymi lub asystenckimi.</w:t>
      </w:r>
    </w:p>
    <w:p>
      <w:pPr>
        <w:pStyle w:val="Normal"/>
        <w:numPr>
          <w:ilvl w:val="0"/>
          <w:numId w:val="91"/>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Warsztaty integracyjne, aktywizujące</w:t>
      </w:r>
      <w:r>
        <w:rPr>
          <w:rFonts w:eastAsia="Times New Roman" w:cs="Arial" w:ascii="Arial" w:hAnsi="Arial"/>
          <w:kern w:val="0"/>
          <w:lang w:eastAsia="pl-PL"/>
          <w14:ligatures w14:val="none"/>
        </w:rPr>
        <w:t>, usprawniające.</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Długoterminowe działania:</w:t>
      </w:r>
    </w:p>
    <w:p>
      <w:pPr>
        <w:pStyle w:val="Normal"/>
        <w:numPr>
          <w:ilvl w:val="0"/>
          <w:numId w:val="92"/>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Utworzenie Warsztatów Terapii Zajęciowej (WTZ)</w:t>
      </w:r>
      <w:r>
        <w:rPr>
          <w:rFonts w:eastAsia="Times New Roman" w:cs="Arial" w:ascii="Arial" w:hAnsi="Arial"/>
          <w:kern w:val="0"/>
          <w:lang w:eastAsia="pl-PL"/>
          <w14:ligatures w14:val="none"/>
        </w:rPr>
        <w:t>.</w:t>
      </w:r>
    </w:p>
    <w:p>
      <w:pPr>
        <w:pStyle w:val="Normal"/>
        <w:numPr>
          <w:ilvl w:val="0"/>
          <w:numId w:val="92"/>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Rozwój mieszkań wspomaganych i treningowych</w:t>
      </w:r>
      <w:r>
        <w:rPr>
          <w:rFonts w:eastAsia="Times New Roman" w:cs="Arial" w:ascii="Arial" w:hAnsi="Arial"/>
          <w:kern w:val="0"/>
          <w:lang w:eastAsia="pl-PL"/>
          <w14:ligatures w14:val="none"/>
        </w:rPr>
        <w:t>.</w:t>
      </w:r>
    </w:p>
    <w:p>
      <w:pPr>
        <w:pStyle w:val="Normal"/>
        <w:numPr>
          <w:ilvl w:val="0"/>
          <w:numId w:val="92"/>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Utworzenie Centrum Opiekuńczo</w:t>
      </w:r>
      <w:r>
        <w:rPr>
          <w:rFonts w:eastAsia="Times New Roman" w:cs="Arial" w:ascii="Arial" w:hAnsi="Arial"/>
          <w:kern w:val="0"/>
          <w:lang w:eastAsia="pl-PL"/>
          <w14:ligatures w14:val="none"/>
        </w:rPr>
        <w:t>-Mieszkalnego (COM).</w:t>
      </w:r>
    </w:p>
    <w:p>
      <w:pPr>
        <w:pStyle w:val="Normal"/>
        <w:numPr>
          <w:ilvl w:val="0"/>
          <w:numId w:val="92"/>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Rozwój usług mobilnych (terapeutycznych, transportowych, pielęgnacyjnych, usprawniających).</w:t>
      </w:r>
    </w:p>
    <w:p>
      <w:pPr>
        <w:pStyle w:val="Normal"/>
        <w:numPr>
          <w:ilvl w:val="0"/>
          <w:numId w:val="0"/>
        </w:numPr>
        <w:spacing w:lineRule="auto" w:line="360" w:beforeAutospacing="1" w:afterAutospacing="1"/>
        <w:ind w:hanging="0" w:left="0"/>
        <w:jc w:val="left"/>
        <w:outlineLvl w:val="0"/>
        <w:rPr>
          <w:rFonts w:ascii="Arial" w:hAnsi="Arial" w:eastAsia="Times New Roman" w:cs="Arial"/>
          <w:b/>
          <w:bCs/>
          <w:kern w:val="2"/>
          <w:lang w:eastAsia="pl-PL"/>
          <w14:ligatures w14:val="none"/>
        </w:rPr>
      </w:pPr>
      <w:r>
        <w:rPr>
          <w:rFonts w:eastAsia="Times New Roman" w:cs="Arial" w:ascii="Arial" w:hAnsi="Arial"/>
          <w:b/>
          <w:bCs/>
          <w:kern w:val="2"/>
          <w:lang w:eastAsia="pl-PL"/>
          <w14:ligatures w14:val="none"/>
        </w:rPr>
        <w:t xml:space="preserve">D. </w:t>
      </w:r>
      <w:r>
        <w:rPr>
          <w:rFonts w:eastAsia="Times New Roman" w:cs="Arial" w:ascii="Arial" w:hAnsi="Arial"/>
          <w:b/>
          <w:bCs/>
          <w:kern w:val="2"/>
          <w:lang w:eastAsia="pl-PL"/>
          <w14:ligatures w14:val="none"/>
        </w:rPr>
        <w:t>Wsparcie seniorów</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Priorytetowe usługi:</w:t>
      </w:r>
    </w:p>
    <w:p>
      <w:pPr>
        <w:pStyle w:val="Normal"/>
        <w:numPr>
          <w:ilvl w:val="0"/>
          <w:numId w:val="93"/>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Usługi opiekuńcze</w:t>
      </w:r>
    </w:p>
    <w:p>
      <w:pPr>
        <w:pStyle w:val="Normal"/>
        <w:numPr>
          <w:ilvl w:val="0"/>
          <w:numId w:val="9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Usługi sąsiedzkie</w:t>
      </w:r>
      <w:r>
        <w:rPr>
          <w:rFonts w:eastAsia="Times New Roman" w:cs="Arial" w:ascii="Arial" w:hAnsi="Arial"/>
          <w:b/>
          <w:bCs/>
          <w:kern w:val="0"/>
          <w:lang w:eastAsia="pl-PL"/>
          <w14:ligatures w14:val="none"/>
        </w:rPr>
        <w:t>.</w:t>
      </w:r>
    </w:p>
    <w:p>
      <w:pPr>
        <w:pStyle w:val="Normal"/>
        <w:numPr>
          <w:ilvl w:val="0"/>
          <w:numId w:val="9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b/>
          <w:bCs/>
          <w:kern w:val="0"/>
          <w:lang w:eastAsia="pl-PL"/>
          <w14:ligatures w14:val="none"/>
        </w:rPr>
        <w:t>Zajęcia aktywizujące i usprawniające:</w:t>
      </w:r>
    </w:p>
    <w:p>
      <w:pPr>
        <w:pStyle w:val="Normal"/>
        <w:numPr>
          <w:ilvl w:val="1"/>
          <w:numId w:val="9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warsztaty artystyczne (STREFA ART),</w:t>
      </w:r>
    </w:p>
    <w:p>
      <w:pPr>
        <w:pStyle w:val="Normal"/>
        <w:numPr>
          <w:ilvl w:val="1"/>
          <w:numId w:val="9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warsztaty plenerowe (ECO-świat, gry miejskie),</w:t>
      </w:r>
    </w:p>
    <w:p>
      <w:pPr>
        <w:pStyle w:val="Normal"/>
        <w:numPr>
          <w:ilvl w:val="1"/>
          <w:numId w:val="93"/>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wyjazdy społeczno-kulturowe (kino, teatr),</w:t>
      </w:r>
    </w:p>
    <w:p>
      <w:pPr>
        <w:pStyle w:val="Normal"/>
        <w:numPr>
          <w:ilvl w:val="1"/>
          <w:numId w:val="93"/>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wydarzenia integracyjne promujące wolontariat.</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Długoterminowe działania:</w:t>
      </w:r>
    </w:p>
    <w:p>
      <w:pPr>
        <w:pStyle w:val="Normal"/>
        <w:numPr>
          <w:ilvl w:val="0"/>
          <w:numId w:val="94"/>
        </w:numPr>
        <w:spacing w:lineRule="auto" w:line="360" w:beforeAutospacing="1" w:after="0"/>
        <w:jc w:val="left"/>
        <w:rPr>
          <w:b w:val="false"/>
          <w:bCs w:val="false"/>
        </w:rPr>
      </w:pPr>
      <w:r>
        <w:rPr>
          <w:rFonts w:eastAsia="Times New Roman" w:cs="Arial" w:ascii="Arial" w:hAnsi="Arial"/>
          <w:b w:val="false"/>
          <w:bCs w:val="false"/>
          <w:kern w:val="0"/>
          <w:lang w:eastAsia="pl-PL"/>
          <w14:ligatures w14:val="none"/>
        </w:rPr>
        <w:t>Utworzenie Dziennego Domu Pomocy.</w:t>
      </w:r>
    </w:p>
    <w:p>
      <w:pPr>
        <w:pStyle w:val="Normal"/>
        <w:numPr>
          <w:ilvl w:val="0"/>
          <w:numId w:val="94"/>
        </w:numPr>
        <w:spacing w:lineRule="auto" w:line="360" w:before="0" w:after="0"/>
        <w:jc w:val="left"/>
        <w:rPr>
          <w:b w:val="false"/>
          <w:bCs w:val="false"/>
        </w:rPr>
      </w:pPr>
      <w:r>
        <w:rPr>
          <w:rFonts w:eastAsia="Times New Roman" w:cs="Arial" w:ascii="Arial" w:hAnsi="Arial"/>
          <w:b w:val="false"/>
          <w:bCs w:val="false"/>
          <w:kern w:val="0"/>
          <w:lang w:eastAsia="pl-PL"/>
          <w14:ligatures w14:val="none"/>
        </w:rPr>
        <w:t>Rozwój sieci Klubów Seniora.</w:t>
      </w:r>
    </w:p>
    <w:p>
      <w:pPr>
        <w:pStyle w:val="Normal"/>
        <w:numPr>
          <w:ilvl w:val="0"/>
          <w:numId w:val="94"/>
        </w:numPr>
        <w:spacing w:lineRule="auto" w:line="360" w:before="0" w:afterAutospacing="1"/>
        <w:jc w:val="left"/>
        <w:rPr>
          <w:b w:val="false"/>
          <w:bCs w:val="false"/>
        </w:rPr>
      </w:pPr>
      <w:r>
        <w:rPr>
          <w:rFonts w:eastAsia="Times New Roman" w:cs="Arial" w:ascii="Arial" w:hAnsi="Arial"/>
          <w:b w:val="false"/>
          <w:bCs w:val="false"/>
          <w:kern w:val="0"/>
          <w:lang w:eastAsia="pl-PL"/>
          <w14:ligatures w14:val="none"/>
        </w:rPr>
        <w:t xml:space="preserve">Usługi mobilności transportowej </w:t>
      </w:r>
    </w:p>
    <w:p>
      <w:pPr>
        <w:pStyle w:val="Normal"/>
        <w:numPr>
          <w:ilvl w:val="0"/>
          <w:numId w:val="0"/>
        </w:numPr>
        <w:spacing w:lineRule="auto" w:line="360" w:beforeAutospacing="1" w:afterAutospacing="1"/>
        <w:ind w:hanging="0" w:left="0"/>
        <w:jc w:val="left"/>
        <w:outlineLvl w:val="0"/>
        <w:rPr>
          <w:rFonts w:ascii="Arial" w:hAnsi="Arial" w:eastAsia="Times New Roman" w:cs="Arial"/>
          <w:b/>
          <w:bCs/>
          <w:kern w:val="2"/>
          <w:lang w:eastAsia="pl-PL"/>
          <w14:ligatures w14:val="none"/>
        </w:rPr>
      </w:pPr>
      <w:r>
        <w:rPr>
          <w:rFonts w:eastAsia="Times New Roman" w:cs="Arial" w:ascii="Arial" w:hAnsi="Arial"/>
          <w:b/>
          <w:bCs/>
          <w:kern w:val="2"/>
          <w:lang w:eastAsia="pl-PL"/>
          <w14:ligatures w14:val="none"/>
        </w:rPr>
        <w:t xml:space="preserve">E. </w:t>
      </w:r>
      <w:r>
        <w:rPr>
          <w:rFonts w:eastAsia="Times New Roman" w:cs="Arial" w:ascii="Arial" w:hAnsi="Arial"/>
          <w:b/>
          <w:bCs/>
          <w:kern w:val="2"/>
          <w:lang w:eastAsia="pl-PL"/>
          <w14:ligatures w14:val="none"/>
        </w:rPr>
        <w:t>P</w:t>
      </w:r>
      <w:r>
        <w:rPr>
          <w:rFonts w:eastAsia="Times New Roman" w:cs="Arial" w:ascii="Arial" w:hAnsi="Arial"/>
          <w:b/>
          <w:bCs/>
          <w:kern w:val="2"/>
          <w:lang w:eastAsia="pl-PL"/>
          <w14:ligatures w14:val="none"/>
        </w:rPr>
        <w:t>obudzanie aktywności obywatelskiej</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Priorytetowe usługi:</w:t>
      </w:r>
    </w:p>
    <w:p>
      <w:pPr>
        <w:pStyle w:val="Normal"/>
        <w:numPr>
          <w:ilvl w:val="0"/>
          <w:numId w:val="95"/>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Organizacja wydarzeń integracyjnych i międzypokoleniowych </w:t>
      </w:r>
    </w:p>
    <w:p>
      <w:pPr>
        <w:pStyle w:val="Normal"/>
        <w:numPr>
          <w:ilvl w:val="0"/>
          <w:numId w:val="95"/>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Wydarzenia rozwijające wolontariat lokalny.</w:t>
      </w:r>
    </w:p>
    <w:p>
      <w:pPr>
        <w:pStyle w:val="Normal"/>
        <w:numPr>
          <w:ilvl w:val="0"/>
          <w:numId w:val="95"/>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Warsztaty i działania w przestrzeni otwartej (gra miejska, plener, działania ekologiczne).</w:t>
      </w:r>
    </w:p>
    <w:p>
      <w:pPr>
        <w:pStyle w:val="Normal"/>
        <w:numPr>
          <w:ilvl w:val="0"/>
          <w:numId w:val="0"/>
        </w:numPr>
        <w:spacing w:lineRule="auto" w:line="360" w:beforeAutospacing="1" w:afterAutospacing="1"/>
        <w:ind w:hanging="0" w:left="0"/>
        <w:jc w:val="left"/>
        <w:outlineLvl w:val="1"/>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Długoterminowe działania:</w:t>
      </w:r>
    </w:p>
    <w:p>
      <w:pPr>
        <w:pStyle w:val="Normal"/>
        <w:numPr>
          <w:ilvl w:val="0"/>
          <w:numId w:val="96"/>
        </w:numPr>
        <w:spacing w:lineRule="auto" w:line="360" w:beforeAutospacing="1" w:after="0"/>
        <w:jc w:val="left"/>
        <w:rPr>
          <w:b w:val="false"/>
          <w:bCs w:val="false"/>
        </w:rPr>
      </w:pPr>
      <w:r>
        <w:rPr>
          <w:rFonts w:eastAsia="Times New Roman" w:cs="Arial" w:ascii="Arial" w:hAnsi="Arial"/>
          <w:b w:val="false"/>
          <w:bCs w:val="false"/>
          <w:kern w:val="0"/>
          <w:lang w:eastAsia="pl-PL"/>
          <w14:ligatures w14:val="none"/>
        </w:rPr>
        <w:t>Rozwój lokalnych inicjatyw obywatelskich wspieranych przez CUS.</w:t>
      </w:r>
    </w:p>
    <w:p>
      <w:pPr>
        <w:pStyle w:val="Normal"/>
        <w:numPr>
          <w:ilvl w:val="0"/>
          <w:numId w:val="96"/>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Budowanie stałej bazy usługodawców – publicznych, społecznych i prywatnych.</w:t>
      </w:r>
    </w:p>
    <w:p>
      <w:pPr>
        <w:pStyle w:val="Normal"/>
        <w:numPr>
          <w:ilvl w:val="0"/>
          <w:numId w:val="0"/>
        </w:numPr>
        <w:spacing w:lineRule="auto" w:line="360" w:beforeAutospacing="1" w:afterAutospacing="1"/>
        <w:ind w:hanging="0" w:left="0"/>
        <w:jc w:val="left"/>
        <w:outlineLvl w:val="0"/>
        <w:rPr>
          <w:rFonts w:ascii="Arial" w:hAnsi="Arial" w:eastAsia="Times New Roman" w:cs="Arial"/>
          <w:b/>
          <w:bCs/>
          <w:kern w:val="2"/>
          <w:lang w:eastAsia="pl-PL"/>
          <w14:ligatures w14:val="none"/>
        </w:rPr>
      </w:pPr>
      <w:r>
        <w:rPr>
          <w:rFonts w:eastAsia="Times New Roman" w:cs="Arial" w:ascii="Arial" w:hAnsi="Arial"/>
          <w:b/>
          <w:bCs/>
          <w:kern w:val="2"/>
          <w:lang w:eastAsia="pl-PL"/>
          <w14:ligatures w14:val="none"/>
        </w:rPr>
        <w:t>Rekomendacje do Modelu Usług Społecznych w Gminie Bychawa</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Aby skutecznie wdrożyć powyższe usługi, rekomenduje się:</w:t>
      </w:r>
    </w:p>
    <w:p>
      <w:pPr>
        <w:pStyle w:val="ListParagraph"/>
        <w:numPr>
          <w:ilvl w:val="0"/>
          <w:numId w:val="100"/>
        </w:numPr>
        <w:spacing w:lineRule="auto" w:line="360" w:beforeAutospacing="1" w:afterAutospacing="1"/>
        <w:contextualSpacing/>
        <w:jc w:val="left"/>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Rozbudowę infrastruktury usług społecznych, w tym:</w:t>
      </w:r>
    </w:p>
    <w:p>
      <w:pPr>
        <w:pStyle w:val="Normal"/>
        <w:numPr>
          <w:ilvl w:val="0"/>
          <w:numId w:val="97"/>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CUS jako centrum koordynacji usług,</w:t>
      </w:r>
    </w:p>
    <w:p>
      <w:pPr>
        <w:pStyle w:val="Normal"/>
        <w:numPr>
          <w:ilvl w:val="0"/>
          <w:numId w:val="9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Dzienny Dom Pomocy,</w:t>
      </w:r>
    </w:p>
    <w:p>
      <w:pPr>
        <w:pStyle w:val="Normal"/>
        <w:numPr>
          <w:ilvl w:val="0"/>
          <w:numId w:val="9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Kluby Seniora,</w:t>
      </w:r>
    </w:p>
    <w:p>
      <w:pPr>
        <w:pStyle w:val="Normal"/>
        <w:numPr>
          <w:ilvl w:val="0"/>
          <w:numId w:val="9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Sieć Placówek Wsparcia Dziennego</w:t>
      </w:r>
    </w:p>
    <w:p>
      <w:pPr>
        <w:pStyle w:val="Normal"/>
        <w:numPr>
          <w:ilvl w:val="0"/>
          <w:numId w:val="9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Warsztaty Terapii Zająciowej </w:t>
      </w:r>
    </w:p>
    <w:p>
      <w:pPr>
        <w:pStyle w:val="Normal"/>
        <w:numPr>
          <w:ilvl w:val="0"/>
          <w:numId w:val="97"/>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Mieszkania wspomagane i treningowe.</w:t>
      </w:r>
    </w:p>
    <w:p>
      <w:pPr>
        <w:pStyle w:val="Normal"/>
        <w:numPr>
          <w:ilvl w:val="0"/>
          <w:numId w:val="97"/>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Spółdzielnie socjalne</w:t>
      </w:r>
    </w:p>
    <w:p>
      <w:pPr>
        <w:pStyle w:val="ListParagraph"/>
        <w:numPr>
          <w:ilvl w:val="0"/>
          <w:numId w:val="100"/>
        </w:numPr>
        <w:spacing w:lineRule="auto" w:line="360" w:beforeAutospacing="1" w:afterAutospacing="1"/>
        <w:contextualSpacing/>
        <w:jc w:val="left"/>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Stworzenie systemu stałego monitorowania potrzeb</w:t>
      </w:r>
    </w:p>
    <w:p>
      <w:pPr>
        <w:pStyle w:val="ListParagraph"/>
        <w:numPr>
          <w:ilvl w:val="0"/>
          <w:numId w:val="99"/>
        </w:numPr>
        <w:spacing w:lineRule="auto" w:line="360" w:beforeAutospacing="1" w:afterAutospacing="1"/>
        <w:contextualSpacing/>
        <w:jc w:val="left"/>
        <w:outlineLvl w:val="2"/>
        <w:rPr>
          <w:rFonts w:ascii="Arial" w:hAnsi="Arial" w:eastAsia="Times New Roman" w:cs="Arial"/>
          <w:b/>
          <w:bCs/>
          <w:kern w:val="0"/>
          <w:lang w:eastAsia="pl-PL"/>
          <w14:ligatures w14:val="none"/>
        </w:rPr>
      </w:pPr>
      <w:r>
        <w:rPr>
          <w:rFonts w:eastAsia="Times New Roman" w:cs="Arial" w:ascii="Arial" w:hAnsi="Arial"/>
          <w:kern w:val="0"/>
          <w:lang w:eastAsia="pl-PL"/>
          <w14:ligatures w14:val="none"/>
        </w:rPr>
        <w:t xml:space="preserve">aktualizacja katalogu dostępnych usług społecznych na podstawie zmieniających się potrzeb demograficznych i społecznych. </w:t>
      </w:r>
    </w:p>
    <w:p>
      <w:pPr>
        <w:pStyle w:val="ListParagraph"/>
        <w:numPr>
          <w:ilvl w:val="0"/>
          <w:numId w:val="100"/>
        </w:numPr>
        <w:spacing w:lineRule="auto" w:line="360" w:beforeAutospacing="1" w:afterAutospacing="1"/>
        <w:contextualSpacing/>
        <w:jc w:val="left"/>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Budowanie partnerstw lokalnych</w:t>
      </w:r>
    </w:p>
    <w:p>
      <w:pPr>
        <w:pStyle w:val="ListParagraph"/>
        <w:numPr>
          <w:ilvl w:val="0"/>
          <w:numId w:val="99"/>
        </w:numPr>
        <w:spacing w:lineRule="auto" w:line="360" w:beforeAutospacing="1" w:afterAutospacing="1"/>
        <w:contextualSpacing/>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współpraca z organizacjami pozarządowymi, sektorem prywatnym i wolontariatem w obszarze realizacji usług społecznych</w:t>
      </w:r>
    </w:p>
    <w:p>
      <w:pPr>
        <w:pStyle w:val="ListParagraph"/>
        <w:numPr>
          <w:ilvl w:val="0"/>
          <w:numId w:val="100"/>
        </w:numPr>
        <w:spacing w:lineRule="auto" w:line="360" w:beforeAutospacing="1" w:afterAutospacing="1"/>
        <w:contextualSpacing/>
        <w:jc w:val="left"/>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Intensywne działania informacyjne i edukacyjne</w:t>
      </w:r>
    </w:p>
    <w:p>
      <w:pPr>
        <w:pStyle w:val="ListParagraph"/>
        <w:numPr>
          <w:ilvl w:val="0"/>
          <w:numId w:val="99"/>
        </w:numPr>
        <w:spacing w:lineRule="auto" w:line="360" w:beforeAutospacing="1" w:afterAutospacing="1"/>
        <w:contextualSpacing/>
        <w:jc w:val="left"/>
        <w:outlineLvl w:val="2"/>
        <w:rPr>
          <w:rFonts w:ascii="Arial" w:hAnsi="Arial" w:eastAsia="Times New Roman" w:cs="Arial"/>
          <w:b/>
          <w:bCs/>
          <w:kern w:val="0"/>
          <w:lang w:eastAsia="pl-PL"/>
          <w14:ligatures w14:val="none"/>
        </w:rPr>
      </w:pPr>
      <w:r>
        <w:rPr>
          <w:rFonts w:eastAsia="Times New Roman" w:cs="Arial" w:ascii="Arial" w:hAnsi="Arial"/>
          <w:kern w:val="0"/>
          <w:lang w:eastAsia="pl-PL"/>
          <w14:ligatures w14:val="none"/>
        </w:rPr>
        <w:t>kampanie  informacyjne o usługach społecznych, jasna komunikacja, edukacja mieszkańców, szkolenia dla kadry CUS i pracowników socjalnych.</w:t>
      </w:r>
    </w:p>
    <w:p>
      <w:pPr>
        <w:pStyle w:val="ListParagraph"/>
        <w:numPr>
          <w:ilvl w:val="0"/>
          <w:numId w:val="100"/>
        </w:numPr>
        <w:spacing w:lineRule="auto" w:line="360" w:beforeAutospacing="1" w:afterAutospacing="1"/>
        <w:contextualSpacing/>
        <w:jc w:val="left"/>
        <w:outlineLvl w:val="2"/>
        <w:rPr>
          <w:rFonts w:ascii="Arial" w:hAnsi="Arial" w:eastAsia="Times New Roman" w:cs="Arial"/>
          <w:b/>
          <w:bCs/>
          <w:kern w:val="0"/>
          <w:lang w:eastAsia="pl-PL"/>
          <w14:ligatures w14:val="none"/>
        </w:rPr>
      </w:pPr>
      <w:r>
        <w:rPr>
          <w:rFonts w:eastAsia="Times New Roman" w:cs="Arial" w:ascii="Arial" w:hAnsi="Arial"/>
          <w:b/>
          <w:bCs/>
          <w:kern w:val="0"/>
          <w:lang w:eastAsia="pl-PL"/>
          <w14:ligatures w14:val="none"/>
        </w:rPr>
        <w:t>Wzmocnienie potencjału kadrowego i kompetencyjnego</w:t>
      </w:r>
    </w:p>
    <w:p>
      <w:pPr>
        <w:pStyle w:val="ListParagraph"/>
        <w:numPr>
          <w:ilvl w:val="0"/>
          <w:numId w:val="99"/>
        </w:numPr>
        <w:spacing w:lineRule="auto" w:line="360" w:beforeAutospacing="1" w:afterAutospacing="1"/>
        <w:contextualSpacing/>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Profesjonalizacja kadry CUS i specjalistów świadczących usługi społeczne</w:t>
      </w:r>
    </w:p>
    <w:p>
      <w:pPr>
        <w:pStyle w:val="Normal"/>
        <w:numPr>
          <w:ilvl w:val="0"/>
          <w:numId w:val="0"/>
        </w:numPr>
        <w:spacing w:lineRule="auto" w:line="360" w:beforeAutospacing="1" w:afterAutospacing="1"/>
        <w:ind w:hanging="0" w:left="0"/>
        <w:jc w:val="left"/>
        <w:outlineLvl w:val="0"/>
        <w:rPr>
          <w:rFonts w:ascii="Arial" w:hAnsi="Arial" w:eastAsia="Times New Roman" w:cs="Arial"/>
          <w:b/>
          <w:bCs/>
          <w:kern w:val="2"/>
          <w:lang w:eastAsia="pl-PL"/>
          <w14:ligatures w14:val="none"/>
        </w:rPr>
      </w:pPr>
      <w:r>
        <w:rPr>
          <w:rFonts w:eastAsia="Times New Roman" w:cs="Arial" w:ascii="Arial" w:hAnsi="Arial"/>
          <w:b/>
          <w:bCs/>
          <w:kern w:val="2"/>
          <w:lang w:eastAsia="pl-PL"/>
          <w14:ligatures w14:val="none"/>
        </w:rPr>
        <w:t>Podsumowanie</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Rekomendowany kierunek działań zakłada budowę kompleksowego, zintegrowanego systemu usług społecznych dla mieszkańców Gminy Bychawa przy  koordynacyjnej funkcji Centrum Usług Społecznych, </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Realizacja wskazanych rekomendacji umożliwi:</w:t>
      </w:r>
    </w:p>
    <w:p>
      <w:pPr>
        <w:pStyle w:val="Normal"/>
        <w:numPr>
          <w:ilvl w:val="0"/>
          <w:numId w:val="98"/>
        </w:numPr>
        <w:spacing w:lineRule="auto" w:line="360" w:beforeAutospacing="1"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poprawę jakości życia mieszkańców,</w:t>
      </w:r>
    </w:p>
    <w:p>
      <w:pPr>
        <w:pStyle w:val="Normal"/>
        <w:numPr>
          <w:ilvl w:val="0"/>
          <w:numId w:val="98"/>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zwiększenie dostępności usług społecznych </w:t>
      </w:r>
    </w:p>
    <w:p>
      <w:pPr>
        <w:pStyle w:val="Normal"/>
        <w:numPr>
          <w:ilvl w:val="0"/>
          <w:numId w:val="98"/>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przeciwdziałanie wykluczeniu społecznemu </w:t>
      </w:r>
    </w:p>
    <w:p>
      <w:pPr>
        <w:pStyle w:val="Normal"/>
        <w:numPr>
          <w:ilvl w:val="0"/>
          <w:numId w:val="98"/>
        </w:numPr>
        <w:spacing w:lineRule="auto" w:line="360" w:before="0" w:after="0"/>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wzmocnienie rodzin, seniorów i osób z niepełnosprawnościami,</w:t>
      </w:r>
    </w:p>
    <w:p>
      <w:pPr>
        <w:pStyle w:val="Normal"/>
        <w:numPr>
          <w:ilvl w:val="0"/>
          <w:numId w:val="98"/>
        </w:numPr>
        <w:spacing w:lineRule="auto" w:line="360" w:before="0"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rozwój kapitału społecznego i obywatelskiego.</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Diagnoza jednoznacznie wskazuje, że Gmina Bychawa stoi przed koniecznością wdrożenia nowoczesnej, zintegrowanej polityki społecznej, której podstawą będzie rozwój i koordynacja usług społecznych poprzez Centrum Usług Społecznych.</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Realizacja rekomendacji pozwoli:</w:t>
      </w:r>
    </w:p>
    <w:p>
      <w:pPr>
        <w:pStyle w:val="Normal"/>
        <w:numPr>
          <w:ilvl w:val="0"/>
          <w:numId w:val="101"/>
        </w:numPr>
        <w:spacing w:lineRule="auto" w:line="360" w:beforeAutospacing="1"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skutecznie odpowiadać na potrzeby starzejącej się i zmniejszającej się populacji,</w:t>
      </w:r>
    </w:p>
    <w:p>
      <w:pPr>
        <w:pStyle w:val="Normal"/>
        <w:numPr>
          <w:ilvl w:val="0"/>
          <w:numId w:val="10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poprawić jakość życia rodzin, dzieci, seniorów i osób z niepełnosprawnościami,</w:t>
      </w:r>
    </w:p>
    <w:p>
      <w:pPr>
        <w:pStyle w:val="Normal"/>
        <w:numPr>
          <w:ilvl w:val="0"/>
          <w:numId w:val="10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zwiększyć aktywność społeczną i obywatelską mieszkańców,</w:t>
      </w:r>
    </w:p>
    <w:p>
      <w:pPr>
        <w:pStyle w:val="Normal"/>
        <w:numPr>
          <w:ilvl w:val="0"/>
          <w:numId w:val="10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podnieść poziom usług i ich dostępność,</w:t>
      </w:r>
    </w:p>
    <w:p>
      <w:pPr>
        <w:pStyle w:val="Normal"/>
        <w:numPr>
          <w:ilvl w:val="0"/>
          <w:numId w:val="101"/>
        </w:numPr>
        <w:spacing w:lineRule="auto" w:line="360" w:before="0" w:after="0"/>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wzmocnić zasoby lokalne i partnerstwa,</w:t>
      </w:r>
    </w:p>
    <w:p>
      <w:pPr>
        <w:pStyle w:val="Normal"/>
        <w:numPr>
          <w:ilvl w:val="0"/>
          <w:numId w:val="101"/>
        </w:numPr>
        <w:spacing w:lineRule="auto" w:line="360" w:before="0"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stworzyć stabilny, efektywny system usług finansowany z wielu źródeł.</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Gmina Bychawa ma potencjał, by stać się przykładem lokalnego samorządu wdrażającego nowy, proaktywny model polityki społecznej, oparty na współpracy, dostępności i profesjonalnych usługach społecznych. </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 xml:space="preserve">Procesy zachodzące w polityce społecznej na poziomie krajowym – w szczególności kierunek zmian wyznaczony przez </w:t>
      </w:r>
      <w:r>
        <w:rPr>
          <w:rFonts w:eastAsia="Times New Roman" w:cs="Arial" w:ascii="Arial" w:hAnsi="Arial"/>
          <w:b/>
          <w:bCs/>
          <w:kern w:val="0"/>
          <w:lang w:eastAsia="pl-PL"/>
          <w14:ligatures w14:val="none"/>
        </w:rPr>
        <w:t xml:space="preserve"> </w:t>
      </w:r>
      <w:r>
        <w:rPr>
          <w:rFonts w:eastAsia="Times New Roman" w:cs="Arial" w:ascii="Arial" w:hAnsi="Arial"/>
          <w:kern w:val="0"/>
          <w:lang w:eastAsia="pl-PL"/>
          <w14:ligatures w14:val="none"/>
        </w:rPr>
        <w:t>Strategię Rozwoju Usług Społecznych (polityka publiczna do 2030 r. z perspektywą do 2035 r.) oraz planowane zmiany systemowe wyraźnie wskazują, że w Polsce następuje odejście od tradycyjnych, instytucjonalnych form wsparcia na rzecz usług świadczonych w środowisku lokalnym, blisko miejsca zamieszkania mieszkańców. Zmiana ta ma charakter systemowy i obejmuje zarówno rozwój zindywidualizowanych form pomocy, jak i profesjonalizację instytucji lokalnych, które pełnią rolę koordynatorów usług.</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 tym kontekście Gmina Bychawa znajduje się w kluczowym momencie rozwojowym. Diagnoza potwierdza, że obecny model wsparcia – oparty głównie na interwencyjnym działaniu Ośrodka Pomocy Społecznej oraz ograniczonym katalogu usług – nie odpowiada w pełni współczesnym wymogom polityki społecznej. Mieszkańcy wskazują na potrzebę dostępu do usług społecznych, środowiskowych i spersonalizowanych, a jednocześnie chcą jak najdłużej pozostawać w swoim naturalnym otoczeniu, w rodzinie lub we własnym domu.</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Wprowadzenie deinstytucjonalizacji na poziomie lokalnym oznacza dla Bychawy konieczność przejścia z modelu opartego na świadczeniach i instytucjach stacjonarnych na model środowiskowy.</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t>Polska polityka społeczna kładzie coraz większy nacisk na koordynację i integrację usług – w tym na rozwój Centrów Usług Społecznych jako podmiotów odpowiedzialnych za organizowanie, planowanie i monitorowanie usług na poziomie gminy. Bychawa, planując utworzenie i rozwój CUS, wpisuje się w ten ogólnokrajowy trend i może wykorzystać zmiany systemowe jako impuls do modernizacji lokalnego systemu wsparcia.</w:t>
      </w:r>
    </w:p>
    <w:p>
      <w:pPr>
        <w:pStyle w:val="Normal"/>
        <w:spacing w:lineRule="auto" w:line="360" w:beforeAutospacing="1" w:afterAutospacing="1"/>
        <w:jc w:val="both"/>
        <w:rPr>
          <w:rFonts w:ascii="Arial" w:hAnsi="Arial" w:eastAsia="Times New Roman" w:cs="Arial"/>
          <w:b/>
          <w:bCs/>
          <w:kern w:val="0"/>
          <w:lang w:eastAsia="pl-PL"/>
          <w14:ligatures w14:val="none"/>
        </w:rPr>
      </w:pPr>
      <w:r>
        <w:rPr>
          <w:rFonts w:eastAsia="Times New Roman" w:cs="Arial" w:ascii="Arial" w:hAnsi="Arial"/>
          <w:kern w:val="0"/>
          <w:lang w:eastAsia="pl-PL"/>
          <w14:ligatures w14:val="none"/>
        </w:rPr>
        <w:t>Deinstytucjonalizacja w ujęciu krajowym podkreśla również znaczenie partnerstw lokalnych – współpracy samorządu z organizacjami pozarządowymi, instytucjami edukacji, kultury, zdrowia, a także z przedsiębiorcami i aktywnymi mieszkańcami. Diagnoza w Bychawie wskazuje, że tego rodzaju potencjał istnieje i może stać się fundamentem nowego modelu usług.</w:t>
      </w:r>
    </w:p>
    <w:p>
      <w:pPr>
        <w:pStyle w:val="Normal"/>
        <w:spacing w:lineRule="auto" w:line="360" w:beforeAutospacing="1" w:afterAutospacing="1"/>
        <w:jc w:val="left"/>
        <w:rPr>
          <w:rFonts w:ascii="Arial" w:hAnsi="Arial" w:eastAsia="Times New Roman" w:cs="Arial"/>
          <w:kern w:val="0"/>
          <w:lang w:eastAsia="pl-PL"/>
          <w14:ligatures w14:val="none"/>
        </w:rPr>
      </w:pPr>
      <w:r>
        <w:rPr>
          <w:rFonts w:eastAsia="Times New Roman" w:cs="Arial" w:ascii="Arial" w:hAnsi="Arial"/>
          <w:kern w:val="0"/>
          <w:lang w:eastAsia="pl-PL"/>
          <w14:ligatures w14:val="none"/>
        </w:rPr>
        <w:t>W</w:t>
      </w:r>
      <w:r>
        <w:rPr>
          <w:rFonts w:eastAsia="Times New Roman" w:cs="Arial" w:ascii="Arial" w:hAnsi="Arial"/>
          <w:b/>
          <w:bCs/>
          <w:kern w:val="0"/>
          <w:lang w:eastAsia="pl-PL"/>
          <w14:ligatures w14:val="none"/>
        </w:rPr>
        <w:t xml:space="preserve"> </w:t>
      </w:r>
      <w:r>
        <w:rPr>
          <w:rFonts w:eastAsia="Times New Roman" w:cs="Arial" w:ascii="Arial" w:hAnsi="Arial"/>
          <w:kern w:val="0"/>
          <w:lang w:eastAsia="pl-PL"/>
          <w14:ligatures w14:val="none"/>
        </w:rPr>
        <w:t>rezultacie zmiany systemowe w Polsce tworzą dla Bychawy zarówno ramy, jak i motywację do wdrażania lokalnej deinstytucjonalizacji. Pozwolą one przekształcić sposób organizowania wsparcia społecznego z biernego reagowania na kryzysy w aktywne budowanie dostępnych, elastycznych i zindywidualizowanych usług, które zwiększą samodzielność i dobrostan mieszkańców – niezależnie od wieku, stanu zdrowia i sytuacji życiowej.</w:t>
      </w:r>
    </w:p>
    <w:p>
      <w:pPr>
        <w:pStyle w:val="Normal"/>
        <w:spacing w:lineRule="auto" w:line="360" w:beforeAutospacing="1" w:afterAutospacing="1"/>
        <w:jc w:val="both"/>
        <w:rPr>
          <w:rFonts w:ascii="Arial" w:hAnsi="Arial" w:eastAsia="Times New Roman" w:cs="Arial"/>
          <w:kern w:val="0"/>
          <w:lang w:eastAsia="pl-PL"/>
          <w14:ligatures w14:val="none"/>
        </w:rPr>
      </w:pPr>
      <w:r>
        <w:rPr>
          <w:rFonts w:eastAsia="Times New Roman" w:cs="Arial" w:ascii="Arial" w:hAnsi="Arial"/>
          <w:kern w:val="0"/>
          <w:lang w:eastAsia="pl-PL"/>
          <w14:ligatures w14:val="none"/>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spacing w:lineRule="auto" w:line="360"/>
        <w:ind w:firstLine="708"/>
        <w:jc w:val="both"/>
        <w:rPr>
          <w:rFonts w:ascii="Arial" w:hAnsi="Arial" w:cs="Arial"/>
        </w:rPr>
      </w:pPr>
      <w:r>
        <w:rPr>
          <w:rFonts w:cs="Arial" w:ascii="Arial" w:hAnsi="Arial"/>
        </w:rPr>
      </w:r>
    </w:p>
    <w:p>
      <w:pPr>
        <w:pStyle w:val="Normal"/>
        <w:jc w:val="both"/>
        <w:rPr/>
      </w:pPr>
      <w:r>
        <w:rPr/>
      </w:r>
      <w:r>
        <w:br w:type="page"/>
      </w:r>
    </w:p>
    <w:p>
      <w:pPr>
        <w:pStyle w:val="Heading1"/>
        <w:spacing w:before="0" w:after="80"/>
        <w:rPr/>
      </w:pPr>
      <w:bookmarkStart w:id="38" w:name="_Toc211356431"/>
      <w:r>
        <w:rPr/>
        <w:t>Spis wykresów</w:t>
      </w:r>
      <w:bookmarkEnd w:id="38"/>
    </w:p>
    <w:p>
      <w:pPr>
        <w:pStyle w:val="TableofFigures"/>
        <w:tabs>
          <w:tab w:val="clear" w:pos="708"/>
          <w:tab w:val="right" w:pos="9062" w:leader="dot"/>
        </w:tabs>
        <w:spacing w:lineRule="auto" w:line="360"/>
        <w:jc w:val="left"/>
        <w:rPr>
          <w:rFonts w:ascii="Arial" w:hAnsi="Arial" w:eastAsia="" w:cs="Arial" w:eastAsiaTheme="minorEastAsia"/>
          <w:lang w:eastAsia="pl-PL"/>
        </w:rPr>
      </w:pPr>
      <w:r>
        <w:fldChar w:fldCharType="begin"/>
      </w:r>
      <w:r>
        <w:rPr>
          <w:rStyle w:val="czeindeksu"/>
          <w:rFonts w:cs="Arial" w:ascii="Arial" w:hAnsi="Arial"/>
        </w:rPr>
        <w:instrText xml:space="preserve"> TOC \c "Wykres" \h </w:instrText>
      </w:r>
      <w:r>
        <w:rPr>
          <w:rStyle w:val="czeindeksu"/>
          <w:rFonts w:cs="Arial" w:ascii="Arial" w:hAnsi="Arial"/>
        </w:rPr>
        <w:fldChar w:fldCharType="separate"/>
      </w:r>
      <w:hyperlink w:anchor="_Toc211275261">
        <w:r>
          <w:rPr>
            <w:rStyle w:val="czeindeksu"/>
            <w:rFonts w:cs="Arial" w:ascii="Arial" w:hAnsi="Arial"/>
          </w:rPr>
          <w:t>Wykres 1. Ludność Gminy Bychawa w latach 2014-2024</w:t>
        </w:r>
        <w:r>
          <w:rPr>
            <w:rStyle w:val="czeindeksu"/>
            <w:rFonts w:cs="Arial" w:ascii="Arial" w:hAnsi="Arial"/>
            <w:vanish w:val="false"/>
          </w:rPr>
          <w:t xml:space="preserve"> </w:t>
          <w:tab/>
        </w:r>
        <w:r>
          <w:rPr>
            <w:webHidden/>
          </w:rPr>
          <w:fldChar w:fldCharType="begin"/>
        </w:r>
        <w:r>
          <w:rPr>
            <w:webHidden/>
          </w:rPr>
          <w:instrText xml:space="preserve">PAGEREF _Toc211275261 \h</w:instrText>
        </w:r>
        <w:r>
          <w:rPr>
            <w:webHidden/>
          </w:rPr>
          <w:fldChar w:fldCharType="separate"/>
        </w:r>
        <w:r>
          <w:rPr>
            <w:rStyle w:val="czeindeksu"/>
            <w:rFonts w:cs="Arial" w:ascii="Arial" w:hAnsi="Arial"/>
            <w:vanish w:val="false"/>
          </w:rPr>
          <w:t>19</w:t>
        </w:r>
        <w:r>
          <w:rPr>
            <w:webHidden/>
          </w:rPr>
          <w:fldChar w:fldCharType="end"/>
        </w:r>
      </w:hyperlink>
    </w:p>
    <w:p>
      <w:pPr>
        <w:pStyle w:val="TableofFigures"/>
        <w:tabs>
          <w:tab w:val="clear" w:pos="708"/>
          <w:tab w:val="right" w:pos="9062" w:leader="dot"/>
        </w:tabs>
        <w:spacing w:lineRule="auto" w:line="360"/>
        <w:jc w:val="left"/>
        <w:rPr>
          <w:rFonts w:ascii="Arial" w:hAnsi="Arial" w:eastAsia="" w:cs="Arial" w:eastAsiaTheme="minorEastAsia"/>
          <w:lang w:eastAsia="pl-PL"/>
        </w:rPr>
      </w:pPr>
      <w:hyperlink w:anchor="_Toc211275262">
        <w:r>
          <w:rPr>
            <w:rStyle w:val="czeindeksu"/>
            <w:rFonts w:cs="Arial" w:ascii="Arial" w:hAnsi="Arial"/>
          </w:rPr>
          <w:t>Wykres 2. Piramida wieku mieszkańców Gminy Bychawa – porównanie roku 2014  z rokiem 2024</w:t>
        </w:r>
        <w:r>
          <w:rPr>
            <w:rStyle w:val="czeindeksu"/>
            <w:rFonts w:cs="Arial" w:ascii="Arial" w:hAnsi="Arial"/>
            <w:vanish w:val="false"/>
          </w:rPr>
          <w:t xml:space="preserve"> </w:t>
          <w:tab/>
        </w:r>
        <w:r>
          <w:rPr>
            <w:webHidden/>
          </w:rPr>
          <w:fldChar w:fldCharType="begin"/>
        </w:r>
        <w:r>
          <w:rPr>
            <w:webHidden/>
          </w:rPr>
          <w:instrText xml:space="preserve">PAGEREF _Toc211275262 \h</w:instrText>
        </w:r>
        <w:r>
          <w:rPr>
            <w:webHidden/>
          </w:rPr>
          <w:fldChar w:fldCharType="separate"/>
        </w:r>
        <w:r>
          <w:rPr>
            <w:rStyle w:val="czeindeksu"/>
            <w:rFonts w:cs="Arial" w:ascii="Arial" w:hAnsi="Arial"/>
            <w:vanish w:val="false"/>
          </w:rPr>
          <w:t>21</w:t>
        </w:r>
        <w:r>
          <w:rPr>
            <w:webHidden/>
          </w:rPr>
          <w:fldChar w:fldCharType="end"/>
        </w:r>
      </w:hyperlink>
    </w:p>
    <w:p>
      <w:pPr>
        <w:pStyle w:val="TableofFigures"/>
        <w:tabs>
          <w:tab w:val="clear" w:pos="708"/>
          <w:tab w:val="right" w:pos="9062" w:leader="dot"/>
        </w:tabs>
        <w:spacing w:lineRule="auto" w:line="360"/>
        <w:jc w:val="left"/>
        <w:rPr>
          <w:rFonts w:ascii="Arial" w:hAnsi="Arial" w:eastAsia="" w:cs="Arial" w:eastAsiaTheme="minorEastAsia"/>
          <w:lang w:eastAsia="pl-PL"/>
        </w:rPr>
      </w:pPr>
      <w:hyperlink w:anchor="_Toc211275263">
        <w:r>
          <w:rPr>
            <w:rStyle w:val="czeindeksu"/>
            <w:rFonts w:cs="Arial" w:ascii="Arial" w:hAnsi="Arial"/>
          </w:rPr>
          <w:t>Wykres 3. Piramidy wieku mieszkańców Gminy Bychawa 2024 rok – zróżnicowanie wewnątrz gminne</w:t>
        </w:r>
        <w:r>
          <w:rPr>
            <w:rStyle w:val="czeindeksu"/>
            <w:rFonts w:cs="Arial" w:ascii="Arial" w:hAnsi="Arial"/>
            <w:vanish w:val="false"/>
          </w:rPr>
          <w:t xml:space="preserve"> </w:t>
          <w:tab/>
        </w:r>
        <w:r>
          <w:rPr>
            <w:webHidden/>
          </w:rPr>
          <w:fldChar w:fldCharType="begin"/>
        </w:r>
        <w:r>
          <w:rPr>
            <w:webHidden/>
          </w:rPr>
          <w:instrText xml:space="preserve">PAGEREF _Toc211275263 \h</w:instrText>
        </w:r>
        <w:r>
          <w:rPr>
            <w:webHidden/>
          </w:rPr>
          <w:fldChar w:fldCharType="separate"/>
        </w:r>
        <w:r>
          <w:rPr>
            <w:rStyle w:val="czeindeksu"/>
            <w:rFonts w:cs="Arial" w:ascii="Arial" w:hAnsi="Arial"/>
            <w:vanish w:val="false"/>
          </w:rPr>
          <w:t>23</w:t>
        </w:r>
        <w:r>
          <w:rPr>
            <w:webHidden/>
          </w:rPr>
          <w:fldChar w:fldCharType="end"/>
        </w:r>
      </w:hyperlink>
    </w:p>
    <w:p>
      <w:pPr>
        <w:pStyle w:val="TableofFigures"/>
        <w:tabs>
          <w:tab w:val="clear" w:pos="708"/>
          <w:tab w:val="right" w:pos="9062" w:leader="dot"/>
        </w:tabs>
        <w:spacing w:lineRule="auto" w:line="360"/>
        <w:jc w:val="left"/>
        <w:rPr>
          <w:rFonts w:ascii="Arial" w:hAnsi="Arial" w:eastAsia="" w:cs="Arial" w:eastAsiaTheme="minorEastAsia"/>
          <w:lang w:eastAsia="pl-PL"/>
        </w:rPr>
      </w:pPr>
      <w:hyperlink w:anchor="_Toc211275264">
        <w:r>
          <w:rPr>
            <w:rStyle w:val="czeindeksu"/>
            <w:rFonts w:cs="Arial" w:ascii="Arial" w:hAnsi="Arial"/>
          </w:rPr>
          <w:t>Wykres 4. Saldo migracji mieszkańców Gminy Bychawa</w:t>
        </w:r>
        <w:r>
          <w:rPr>
            <w:rStyle w:val="czeindeksu"/>
            <w:rFonts w:cs="Arial" w:ascii="Arial" w:hAnsi="Arial"/>
            <w:vanish w:val="false"/>
          </w:rPr>
          <w:t xml:space="preserve"> </w:t>
          <w:tab/>
        </w:r>
        <w:r>
          <w:rPr>
            <w:webHidden/>
          </w:rPr>
          <w:fldChar w:fldCharType="begin"/>
        </w:r>
        <w:r>
          <w:rPr>
            <w:webHidden/>
          </w:rPr>
          <w:instrText xml:space="preserve">PAGEREF _Toc211275264 \h</w:instrText>
        </w:r>
        <w:r>
          <w:rPr>
            <w:webHidden/>
          </w:rPr>
          <w:fldChar w:fldCharType="separate"/>
        </w:r>
        <w:r>
          <w:rPr>
            <w:rStyle w:val="czeindeksu"/>
            <w:rFonts w:cs="Arial" w:ascii="Arial" w:hAnsi="Arial"/>
            <w:vanish w:val="false"/>
          </w:rPr>
          <w:t>25</w:t>
        </w:r>
        <w:r>
          <w:rPr>
            <w:webHidden/>
          </w:rPr>
          <w:fldChar w:fldCharType="end"/>
        </w:r>
      </w:hyperlink>
    </w:p>
    <w:p>
      <w:pPr>
        <w:pStyle w:val="TableofFigures"/>
        <w:tabs>
          <w:tab w:val="clear" w:pos="708"/>
          <w:tab w:val="right" w:pos="9062" w:leader="dot"/>
        </w:tabs>
        <w:spacing w:lineRule="auto" w:line="360"/>
        <w:jc w:val="left"/>
        <w:rPr>
          <w:rFonts w:ascii="Arial" w:hAnsi="Arial" w:eastAsia="" w:cs="Arial" w:eastAsiaTheme="minorEastAsia"/>
          <w:lang w:eastAsia="pl-PL"/>
        </w:rPr>
      </w:pPr>
      <w:hyperlink w:anchor="_Toc211275265">
        <w:r>
          <w:rPr>
            <w:rStyle w:val="czeindeksu"/>
            <w:rFonts w:cs="Arial" w:ascii="Arial" w:hAnsi="Arial"/>
          </w:rPr>
          <w:t>Wykres 5.   Liczba mieszkań w podziale na liczbę osób zamieszkujących mieszkania                      w Gminie Bychawa</w:t>
        </w:r>
        <w:r>
          <w:rPr>
            <w:rStyle w:val="czeindeksu"/>
            <w:rFonts w:cs="Arial" w:ascii="Arial" w:hAnsi="Arial"/>
            <w:vanish w:val="false"/>
          </w:rPr>
          <w:t xml:space="preserve"> </w:t>
          <w:tab/>
        </w:r>
        <w:r>
          <w:rPr>
            <w:webHidden/>
          </w:rPr>
          <w:fldChar w:fldCharType="begin"/>
        </w:r>
        <w:r>
          <w:rPr>
            <w:webHidden/>
          </w:rPr>
          <w:instrText xml:space="preserve">PAGEREF _Toc211275265 \h</w:instrText>
        </w:r>
        <w:r>
          <w:rPr>
            <w:webHidden/>
          </w:rPr>
          <w:fldChar w:fldCharType="separate"/>
        </w:r>
        <w:r>
          <w:rPr>
            <w:rStyle w:val="czeindeksu"/>
            <w:rFonts w:cs="Arial" w:ascii="Arial" w:hAnsi="Arial"/>
            <w:vanish w:val="false"/>
          </w:rPr>
          <w:t>26</w:t>
        </w:r>
        <w:r>
          <w:rPr>
            <w:webHidden/>
          </w:rPr>
          <w:fldChar w:fldCharType="end"/>
        </w:r>
      </w:hyperlink>
    </w:p>
    <w:p>
      <w:pPr>
        <w:pStyle w:val="TableofFigures"/>
        <w:tabs>
          <w:tab w:val="clear" w:pos="708"/>
          <w:tab w:val="right" w:pos="9062" w:leader="dot"/>
        </w:tabs>
        <w:spacing w:lineRule="auto" w:line="360"/>
        <w:jc w:val="left"/>
        <w:rPr>
          <w:rFonts w:ascii="Arial" w:hAnsi="Arial" w:eastAsia="" w:cs="Arial" w:eastAsiaTheme="minorEastAsia"/>
          <w:lang w:eastAsia="pl-PL"/>
        </w:rPr>
      </w:pPr>
      <w:hyperlink w:anchor="_Toc211275266">
        <w:r>
          <w:rPr>
            <w:rStyle w:val="czeindeksu"/>
            <w:rFonts w:cs="Arial" w:ascii="Arial" w:hAnsi="Arial"/>
          </w:rPr>
          <w:t>Wykres 6. Liczba mieszkań wg roku wybudowania</w:t>
        </w:r>
        <w:r>
          <w:rPr>
            <w:rStyle w:val="czeindeksu"/>
            <w:rFonts w:cs="Arial" w:ascii="Arial" w:hAnsi="Arial"/>
            <w:vanish w:val="false"/>
          </w:rPr>
          <w:t xml:space="preserve"> </w:t>
          <w:tab/>
        </w:r>
        <w:r>
          <w:rPr>
            <w:webHidden/>
          </w:rPr>
          <w:fldChar w:fldCharType="begin"/>
        </w:r>
        <w:r>
          <w:rPr>
            <w:webHidden/>
          </w:rPr>
          <w:instrText xml:space="preserve">PAGEREF _Toc211275266 \h</w:instrText>
        </w:r>
        <w:r>
          <w:rPr>
            <w:webHidden/>
          </w:rPr>
          <w:fldChar w:fldCharType="separate"/>
        </w:r>
        <w:r>
          <w:rPr>
            <w:rStyle w:val="czeindeksu"/>
            <w:rFonts w:cs="Arial" w:ascii="Arial" w:hAnsi="Arial"/>
            <w:vanish w:val="false"/>
          </w:rPr>
          <w:t>28</w:t>
        </w:r>
        <w:r>
          <w:rPr>
            <w:webHidden/>
          </w:rPr>
          <w:fldChar w:fldCharType="end"/>
        </w:r>
      </w:hyperlink>
    </w:p>
    <w:p>
      <w:pPr>
        <w:pStyle w:val="TableofFigures"/>
        <w:tabs>
          <w:tab w:val="clear" w:pos="708"/>
          <w:tab w:val="right" w:pos="9062" w:leader="dot"/>
        </w:tabs>
        <w:spacing w:lineRule="auto" w:line="360"/>
        <w:jc w:val="left"/>
        <w:rPr>
          <w:rFonts w:ascii="Arial" w:hAnsi="Arial" w:eastAsia="" w:cs="Arial" w:eastAsiaTheme="minorEastAsia"/>
          <w:lang w:eastAsia="pl-PL"/>
        </w:rPr>
      </w:pPr>
      <w:hyperlink w:anchor="_Toc211275267">
        <w:r>
          <w:rPr>
            <w:rStyle w:val="czeindeksu"/>
            <w:rFonts w:cs="Arial" w:ascii="Arial" w:hAnsi="Arial"/>
          </w:rPr>
          <w:t>Wykres 7. Bezrobotni mieszkańcy Gminy Bychawa zarejestrowani w Urzędzie Pracy w latach 2014-2024 (stan na 31 grudnia każdego roku)</w:t>
        </w:r>
        <w:r>
          <w:rPr>
            <w:rStyle w:val="czeindeksu"/>
            <w:rFonts w:cs="Arial" w:ascii="Arial" w:hAnsi="Arial"/>
            <w:vanish w:val="false"/>
          </w:rPr>
          <w:t xml:space="preserve"> </w:t>
          <w:tab/>
        </w:r>
        <w:r>
          <w:rPr>
            <w:webHidden/>
          </w:rPr>
          <w:fldChar w:fldCharType="begin"/>
        </w:r>
        <w:r>
          <w:rPr>
            <w:webHidden/>
          </w:rPr>
          <w:instrText xml:space="preserve">PAGEREF _Toc211275267 \h</w:instrText>
        </w:r>
        <w:r>
          <w:rPr>
            <w:webHidden/>
          </w:rPr>
          <w:fldChar w:fldCharType="separate"/>
        </w:r>
        <w:r>
          <w:rPr>
            <w:rStyle w:val="czeindeksu"/>
            <w:rFonts w:cs="Arial" w:ascii="Arial" w:hAnsi="Arial"/>
            <w:vanish w:val="false"/>
          </w:rPr>
          <w:t>32</w:t>
        </w:r>
        <w:r>
          <w:rPr>
            <w:webHidden/>
          </w:rPr>
          <w:fldChar w:fldCharType="end"/>
        </w:r>
      </w:hyperlink>
    </w:p>
    <w:p>
      <w:pPr>
        <w:pStyle w:val="TableofFigures"/>
        <w:tabs>
          <w:tab w:val="clear" w:pos="708"/>
          <w:tab w:val="right" w:pos="9062" w:leader="dot"/>
        </w:tabs>
        <w:spacing w:lineRule="auto" w:line="360"/>
        <w:jc w:val="left"/>
        <w:rPr>
          <w:rFonts w:ascii="Arial" w:hAnsi="Arial" w:cs="Arial"/>
        </w:rPr>
      </w:pPr>
      <w:hyperlink w:anchor="_Toc211275268">
        <w:r>
          <w:rPr>
            <w:rStyle w:val="czeindeksu"/>
            <w:rFonts w:cs="Arial" w:ascii="Arial" w:hAnsi="Arial"/>
          </w:rPr>
          <w:t>Wykres 8. Gospodarstwa domowe korzystające ze środowiskowej pomocy społecznej według kryterium dochodowego na terenie Gminy Bychawa w latach 2014-2024</w:t>
        </w:r>
        <w:r>
          <w:rPr>
            <w:rStyle w:val="czeindeksu"/>
            <w:rFonts w:cs="Arial" w:ascii="Arial" w:hAnsi="Arial"/>
            <w:vanish w:val="false"/>
          </w:rPr>
          <w:t xml:space="preserve"> </w:t>
          <w:tab/>
        </w:r>
        <w:r>
          <w:rPr>
            <w:webHidden/>
          </w:rPr>
          <w:fldChar w:fldCharType="begin"/>
        </w:r>
        <w:r>
          <w:rPr>
            <w:webHidden/>
          </w:rPr>
          <w:instrText xml:space="preserve">PAGEREF _Toc211275268 \h</w:instrText>
        </w:r>
        <w:r>
          <w:rPr>
            <w:webHidden/>
          </w:rPr>
          <w:fldChar w:fldCharType="separate"/>
        </w:r>
        <w:r>
          <w:rPr>
            <w:rStyle w:val="czeindeksu"/>
            <w:rFonts w:cs="Arial" w:ascii="Arial" w:hAnsi="Arial"/>
            <w:vanish w:val="false"/>
          </w:rPr>
          <w:t>35</w:t>
        </w:r>
        <w:r>
          <w:rPr>
            <w:webHidden/>
          </w:rPr>
          <w:fldChar w:fldCharType="end"/>
        </w:r>
      </w:hyperlink>
      <w:r>
        <w:rPr>
          <w:rStyle w:val="czeindeksu"/>
          <w:vanish w:val="false"/>
          <w:rFonts w:cs="Arial" w:ascii="Arial" w:hAnsi="Arial"/>
        </w:rPr>
        <w:fldChar w:fldCharType="end"/>
      </w:r>
    </w:p>
    <w:p>
      <w:pPr>
        <w:pStyle w:val="Normal"/>
        <w:rPr>
          <w:rFonts w:ascii="Arial" w:hAnsi="Arial" w:cs="Arial"/>
        </w:rPr>
      </w:pPr>
      <w:r>
        <w:rPr>
          <w:rFonts w:cs="Arial" w:ascii="Arial" w:hAnsi="Arial"/>
        </w:rPr>
      </w:r>
    </w:p>
    <w:p>
      <w:pPr>
        <w:pStyle w:val="Heading1"/>
        <w:rPr>
          <w:sz w:val="24"/>
          <w:szCs w:val="24"/>
        </w:rPr>
      </w:pPr>
      <w:r>
        <w:rPr>
          <w:sz w:val="24"/>
          <w:szCs w:val="24"/>
        </w:rPr>
      </w:r>
      <w:r>
        <w:br w:type="page"/>
      </w:r>
    </w:p>
    <w:p>
      <w:pPr>
        <w:pStyle w:val="Heading1"/>
        <w:spacing w:before="0" w:after="80"/>
        <w:rPr/>
      </w:pPr>
      <w:bookmarkStart w:id="39" w:name="_Toc211356432"/>
      <w:r>
        <w:rPr/>
        <w:t>Spis tabel</w:t>
      </w:r>
      <w:bookmarkEnd w:id="39"/>
    </w:p>
    <w:p>
      <w:pPr>
        <w:pStyle w:val="TableofFigures"/>
        <w:tabs>
          <w:tab w:val="clear" w:pos="708"/>
          <w:tab w:val="right" w:pos="9062" w:leader="dot"/>
        </w:tabs>
        <w:spacing w:lineRule="auto" w:line="360"/>
        <w:jc w:val="both"/>
        <w:rPr>
          <w:rFonts w:ascii="Arial" w:hAnsi="Arial" w:eastAsia="" w:cs="Arial" w:eastAsiaTheme="minorEastAsia"/>
          <w:lang w:eastAsia="pl-PL"/>
        </w:rPr>
      </w:pPr>
      <w:r>
        <w:fldChar w:fldCharType="begin"/>
      </w:r>
      <w:r>
        <w:rPr>
          <w:rStyle w:val="czeindeksu"/>
          <w:rFonts w:cs="Arial" w:ascii="Arial" w:hAnsi="Arial"/>
        </w:rPr>
        <w:instrText xml:space="preserve"> TOC \c "Tabela" \h </w:instrText>
      </w:r>
      <w:r>
        <w:rPr>
          <w:rStyle w:val="czeindeksu"/>
          <w:rFonts w:cs="Arial" w:ascii="Arial" w:hAnsi="Arial"/>
        </w:rPr>
        <w:fldChar w:fldCharType="separate"/>
      </w:r>
      <w:hyperlink w:anchor="_Toc211277034">
        <w:r>
          <w:rPr>
            <w:rStyle w:val="czeindeksu"/>
            <w:rFonts w:cs="Arial" w:ascii="Arial" w:hAnsi="Arial"/>
          </w:rPr>
          <w:t xml:space="preserve">Tabela 1. Zestawienie liczby rodzin z obszaru Gminy Bychawa korzystających </w:t>
        </w:r>
        <w:r>
          <w:rPr>
            <w:rStyle w:val="czeindeksu"/>
            <w:rFonts w:cs="Arial" w:ascii="Arial" w:hAnsi="Arial"/>
          </w:rPr>
          <w:br/>
          <w:t>z systemu wsparcia oferowanego przez Ośrodek Pomocy Społecznej w latach 2005</w:t>
          <w:br/>
          <w:t>-2025</w:t>
        </w:r>
        <w:r>
          <w:rPr>
            <w:rStyle w:val="czeindeksu"/>
            <w:rFonts w:cs="Arial" w:ascii="Arial" w:hAnsi="Arial"/>
            <w:vanish w:val="false"/>
          </w:rPr>
          <w:t xml:space="preserve"> </w:t>
          <w:tab/>
        </w:r>
        <w:r>
          <w:rPr>
            <w:webHidden/>
          </w:rPr>
          <w:fldChar w:fldCharType="begin"/>
        </w:r>
        <w:r>
          <w:rPr>
            <w:webHidden/>
          </w:rPr>
          <w:instrText xml:space="preserve">PAGEREF _Toc211277034 \h</w:instrText>
        </w:r>
        <w:r>
          <w:rPr>
            <w:webHidden/>
          </w:rPr>
          <w:fldChar w:fldCharType="separate"/>
        </w:r>
        <w:r>
          <w:rPr>
            <w:rStyle w:val="czeindeksu"/>
            <w:rFonts w:cs="Arial" w:ascii="Arial" w:hAnsi="Arial"/>
            <w:vanish w:val="false"/>
          </w:rPr>
          <w:t>41</w:t>
        </w:r>
        <w:r>
          <w:rPr>
            <w:webHidden/>
          </w:rPr>
          <w:fldChar w:fldCharType="end"/>
        </w:r>
      </w:hyperlink>
    </w:p>
    <w:p>
      <w:pPr>
        <w:pStyle w:val="TableofFigures"/>
        <w:tabs>
          <w:tab w:val="clear" w:pos="708"/>
          <w:tab w:val="right" w:pos="9062" w:leader="dot"/>
        </w:tabs>
        <w:spacing w:lineRule="auto" w:line="360"/>
        <w:jc w:val="both"/>
        <w:rPr>
          <w:rFonts w:ascii="Arial" w:hAnsi="Arial" w:eastAsia="" w:cs="Arial" w:eastAsiaTheme="minorEastAsia"/>
          <w:lang w:eastAsia="pl-PL"/>
        </w:rPr>
      </w:pPr>
      <w:hyperlink w:anchor="_Toc211277035">
        <w:r>
          <w:rPr>
            <w:rStyle w:val="czeindeksu"/>
            <w:rFonts w:cs="Arial" w:ascii="Arial" w:hAnsi="Arial"/>
          </w:rPr>
          <w:t>Tabela 2. Zestawienie liczby osób objętych usługami realizowanymi w ramach wsparcia zapewnianego przez Ośrodka Pomocy Społecznej w Bychawie latach 2020-2024</w:t>
        </w:r>
        <w:r>
          <w:rPr>
            <w:rStyle w:val="czeindeksu"/>
            <w:rFonts w:cs="Arial" w:ascii="Arial" w:hAnsi="Arial"/>
            <w:vanish w:val="false"/>
          </w:rPr>
          <w:t xml:space="preserve"> </w:t>
          <w:tab/>
        </w:r>
        <w:r>
          <w:rPr>
            <w:webHidden/>
          </w:rPr>
          <w:fldChar w:fldCharType="begin"/>
        </w:r>
        <w:r>
          <w:rPr>
            <w:webHidden/>
          </w:rPr>
          <w:instrText xml:space="preserve">PAGEREF _Toc211277035 \h</w:instrText>
        </w:r>
        <w:r>
          <w:rPr>
            <w:webHidden/>
          </w:rPr>
          <w:fldChar w:fldCharType="separate"/>
        </w:r>
        <w:r>
          <w:rPr>
            <w:rStyle w:val="czeindeksu"/>
            <w:rFonts w:cs="Arial" w:ascii="Arial" w:hAnsi="Arial"/>
            <w:vanish w:val="false"/>
          </w:rPr>
          <w:t>45</w:t>
        </w:r>
        <w:r>
          <w:rPr>
            <w:webHidden/>
          </w:rPr>
          <w:fldChar w:fldCharType="end"/>
        </w:r>
      </w:hyperlink>
      <w:r>
        <w:rPr>
          <w:rStyle w:val="czeindeksu"/>
          <w:vanish w:val="false"/>
          <w:rFonts w:cs="Arial" w:ascii="Arial" w:hAnsi="Arial"/>
        </w:rPr>
        <w:fldChar w:fldCharType="end"/>
      </w:r>
    </w:p>
    <w:p>
      <w:pPr>
        <w:pStyle w:val="Caption"/>
        <w:jc w:val="left"/>
        <w:rPr/>
      </w:pPr>
      <w:r>
        <w:rPr/>
      </w:r>
    </w:p>
    <w:p>
      <w:pPr>
        <w:pStyle w:val="Normal"/>
        <w:rPr/>
      </w:pPr>
      <w:r>
        <w:rPr/>
      </w:r>
    </w:p>
    <w:p>
      <w:pPr>
        <w:pStyle w:val="Normal"/>
        <w:rPr/>
      </w:pPr>
      <w:r>
        <w:rPr/>
      </w:r>
    </w:p>
    <w:p>
      <w:pPr>
        <w:pStyle w:val="Normal"/>
        <w:rPr/>
      </w:pPr>
      <w:r>
        <w:rPr/>
      </w:r>
      <w:r>
        <w:br w:type="page"/>
      </w:r>
    </w:p>
    <w:p>
      <w:pPr>
        <w:pStyle w:val="Heading1"/>
        <w:spacing w:before="0" w:after="80"/>
        <w:rPr/>
      </w:pPr>
      <w:bookmarkStart w:id="40" w:name="_Toc211356433"/>
      <w:r>
        <w:rPr/>
        <w:t>Załączniki</w:t>
      </w:r>
      <w:bookmarkEnd w:id="40"/>
      <w:r>
        <w:rPr/>
        <w:t xml:space="preserve"> </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t xml:space="preserve">Załącznik nr 1 </w:t>
      </w:r>
    </w:p>
    <w:p>
      <w:pPr>
        <w:pStyle w:val="NormalWeb"/>
        <w:spacing w:lineRule="auto" w:line="360" w:before="280" w:after="280"/>
        <w:jc w:val="both"/>
        <w:rPr>
          <w:rFonts w:ascii="Arial" w:hAnsi="Arial" w:cs="Arial"/>
          <w:b/>
          <w:bCs/>
        </w:rPr>
      </w:pPr>
      <w:r>
        <w:rPr>
          <w:rFonts w:cs="Arial" w:ascii="Arial" w:hAnsi="Arial"/>
          <w:b/>
          <w:bCs/>
        </w:rPr>
        <w:t>Szanowna Pani, Szanowny Panie,</w:t>
      </w:r>
    </w:p>
    <w:p>
      <w:pPr>
        <w:pStyle w:val="NormalWeb"/>
        <w:spacing w:lineRule="auto" w:line="360" w:before="280" w:after="280"/>
        <w:jc w:val="both"/>
        <w:rPr>
          <w:rFonts w:ascii="Arial" w:hAnsi="Arial" w:cs="Arial"/>
          <w:b/>
          <w:bCs/>
        </w:rPr>
      </w:pPr>
      <w:r>
        <w:rPr>
          <w:rFonts w:cs="Arial" w:ascii="Arial" w:hAnsi="Arial"/>
          <w:sz w:val="20"/>
          <w:szCs w:val="20"/>
        </w:rPr>
        <w:t xml:space="preserve">W trosce o jak najlepszą jakość życia przygotowujemy dla mieszkańców Gminy Bychawa ofertę realizacji usług społecznych. Będą to usługi dostępne w strukturach nowej jednostki organizacyjnej pod nazwą Centrum Usług Społecznych w Bychawie. </w:t>
      </w:r>
    </w:p>
    <w:p>
      <w:pPr>
        <w:pStyle w:val="NormalWeb"/>
        <w:spacing w:lineRule="auto" w:line="360" w:before="280" w:after="280"/>
        <w:jc w:val="both"/>
        <w:rPr>
          <w:rFonts w:ascii="Arial" w:hAnsi="Arial" w:cs="Arial"/>
          <w:b/>
          <w:bCs/>
        </w:rPr>
      </w:pPr>
      <w:r>
        <w:rPr>
          <w:rFonts w:cs="Arial" w:ascii="Arial" w:hAnsi="Arial"/>
          <w:sz w:val="20"/>
          <w:szCs w:val="20"/>
        </w:rPr>
        <w:t xml:space="preserve">W pierwszym etapie organizacji CUS pragniemy poznać Pani/Pana opinie i potrzeby w zakresie usług społecznych. Prosimy o udzielenie odpowiedzi na zamieszczone niżej pytania, które pomogą nam dokonać wyboru usług oraz zapewnić jak najlepszą ich jakość. </w:t>
      </w:r>
    </w:p>
    <w:p>
      <w:pPr>
        <w:pStyle w:val="NormalWeb"/>
        <w:spacing w:lineRule="auto" w:line="360" w:before="280" w:after="280"/>
        <w:jc w:val="both"/>
        <w:rPr>
          <w:rFonts w:ascii="Arial" w:hAnsi="Arial" w:cs="Arial"/>
          <w:sz w:val="20"/>
          <w:szCs w:val="20"/>
        </w:rPr>
      </w:pPr>
      <w:r>
        <w:rPr>
          <w:rFonts w:cs="Arial" w:ascii="Arial" w:hAnsi="Arial"/>
          <w:sz w:val="20"/>
          <w:szCs w:val="20"/>
        </w:rPr>
        <w:t xml:space="preserve">Pragniemy dodać, że pod pojęciem usługi społecznej rozumiemy wszelkie działania dedykowane mieszkańcom, które pomogą zaspokajać życiowe i funkcjonalne potrzeby w zakresie zdrowa, edukacji, rozwoju, sportu, kultury, spędzania wolnego czasu itp. Usługi będą miały charakter powszechny i ogólnodostępny dla wszystkich mieszkańców Gminy Bychawa. </w:t>
      </w:r>
    </w:p>
    <w:p>
      <w:pPr>
        <w:pStyle w:val="Normal"/>
        <w:spacing w:lineRule="auto" w:line="360"/>
        <w:jc w:val="right"/>
        <w:rPr>
          <w:rFonts w:ascii="Arial" w:hAnsi="Arial" w:cs="Arial"/>
          <w:b/>
          <w:bCs/>
          <w:i/>
          <w:i/>
          <w:iCs/>
          <w:sz w:val="20"/>
          <w:szCs w:val="20"/>
        </w:rPr>
      </w:pPr>
      <w:r>
        <w:rPr>
          <w:rFonts w:cs="Arial" w:ascii="Arial" w:hAnsi="Arial"/>
        </w:rPr>
        <w:tab/>
        <w:tab/>
        <w:tab/>
        <w:tab/>
        <w:tab/>
      </w:r>
      <w:r>
        <w:rPr>
          <w:rFonts w:cs="Arial" w:ascii="Arial" w:hAnsi="Arial"/>
          <w:b/>
          <w:bCs/>
          <w:i/>
          <w:iCs/>
          <w:sz w:val="20"/>
          <w:szCs w:val="20"/>
        </w:rPr>
        <w:t xml:space="preserve">Z poważaniem </w:t>
      </w:r>
    </w:p>
    <w:p>
      <w:pPr>
        <w:pStyle w:val="Normal"/>
        <w:spacing w:lineRule="auto" w:line="360"/>
        <w:jc w:val="right"/>
        <w:rPr>
          <w:rFonts w:ascii="Arial" w:hAnsi="Arial" w:cs="Arial"/>
          <w:b/>
          <w:bCs/>
          <w:i/>
          <w:i/>
          <w:iCs/>
          <w:sz w:val="20"/>
          <w:szCs w:val="20"/>
        </w:rPr>
      </w:pPr>
      <w:r>
        <w:rPr>
          <w:rFonts w:cs="Arial" w:ascii="Arial" w:hAnsi="Arial"/>
          <w:b/>
          <w:bCs/>
          <w:i/>
          <w:iCs/>
          <w:sz w:val="20"/>
          <w:szCs w:val="20"/>
        </w:rPr>
        <w:t>Zespół projektowy ds. wdrożenia projektu „Centrum Usług Społecznych w Gminie Bychawa, dofinansowanego ze środków Unii Europejskiej w ramach Działania 8.5 Usługi Społeczne, Priorytet VIII Zwiększenie spójności społecznej Programu Fundusze Europejskie dla Lubelskiego na lata 2021-2027”</w:t>
      </w:r>
    </w:p>
    <w:p>
      <w:pPr>
        <w:pStyle w:val="NormalWeb"/>
        <w:spacing w:lineRule="auto" w:line="360" w:before="280" w:after="280"/>
        <w:rPr>
          <w:rFonts w:ascii="Arial" w:hAnsi="Arial" w:cs="Arial"/>
          <w:b/>
          <w:bCs/>
        </w:rPr>
      </w:pPr>
      <w:r>
        <w:rPr>
          <w:rFonts w:cs="Arial" w:ascii="Arial" w:hAnsi="Arial"/>
          <w:b/>
          <w:bCs/>
        </w:rPr>
      </w:r>
    </w:p>
    <w:p>
      <w:pPr>
        <w:pStyle w:val="NormalWeb"/>
        <w:spacing w:lineRule="auto" w:line="360" w:before="280" w:after="280"/>
        <w:rPr>
          <w:rFonts w:ascii="Arial" w:hAnsi="Arial" w:cs="Arial"/>
          <w:b/>
          <w:bCs/>
        </w:rPr>
      </w:pPr>
      <w:r>
        <w:rPr>
          <w:rFonts w:cs="Arial" w:ascii="Arial" w:hAnsi="Arial"/>
          <w:b/>
          <w:bCs/>
        </w:rPr>
        <w:t>Metryczka respondenta</w:t>
      </w:r>
    </w:p>
    <w:p>
      <w:pPr>
        <w:pStyle w:val="NormalWeb"/>
        <w:numPr>
          <w:ilvl w:val="0"/>
          <w:numId w:val="229"/>
        </w:numPr>
        <w:spacing w:lineRule="auto" w:line="360" w:before="280" w:after="0"/>
        <w:jc w:val="left"/>
        <w:rPr>
          <w:rFonts w:ascii="Arial" w:hAnsi="Arial" w:cs="Arial"/>
          <w:sz w:val="20"/>
          <w:szCs w:val="20"/>
        </w:rPr>
      </w:pPr>
      <w:r>
        <w:rPr>
          <w:rFonts w:cs="Arial" w:ascii="Arial" w:hAnsi="Arial"/>
          <w:sz w:val="20"/>
          <w:szCs w:val="20"/>
        </w:rPr>
        <w:t>Płeć</w:t>
      </w:r>
    </w:p>
    <w:p>
      <w:pPr>
        <w:pStyle w:val="NormalWeb"/>
        <w:numPr>
          <w:ilvl w:val="1"/>
          <w:numId w:val="230"/>
        </w:numPr>
        <w:spacing w:lineRule="auto" w:line="360" w:before="0" w:after="0"/>
        <w:jc w:val="left"/>
        <w:rPr>
          <w:rFonts w:ascii="Arial" w:hAnsi="Arial" w:cs="Arial"/>
          <w:sz w:val="20"/>
          <w:szCs w:val="20"/>
        </w:rPr>
      </w:pPr>
      <w:r>
        <w:rPr>
          <w:rFonts w:cs="Arial" w:ascii="Arial" w:hAnsi="Arial"/>
          <w:sz w:val="20"/>
          <w:szCs w:val="20"/>
        </w:rPr>
        <w:t>Kobieta</w:t>
      </w:r>
    </w:p>
    <w:p>
      <w:pPr>
        <w:pStyle w:val="NormalWeb"/>
        <w:numPr>
          <w:ilvl w:val="1"/>
          <w:numId w:val="231"/>
        </w:numPr>
        <w:spacing w:lineRule="auto" w:line="360" w:before="0" w:after="0"/>
        <w:jc w:val="left"/>
        <w:rPr>
          <w:rFonts w:ascii="Arial" w:hAnsi="Arial" w:cs="Arial"/>
          <w:sz w:val="20"/>
          <w:szCs w:val="20"/>
        </w:rPr>
      </w:pPr>
      <w:r>
        <w:rPr>
          <w:rFonts w:cs="Arial" w:ascii="Arial" w:hAnsi="Arial"/>
          <w:sz w:val="20"/>
          <w:szCs w:val="20"/>
        </w:rPr>
        <w:t>Mężczyzna</w:t>
      </w:r>
    </w:p>
    <w:p>
      <w:pPr>
        <w:pStyle w:val="NormalWeb"/>
        <w:numPr>
          <w:ilvl w:val="0"/>
          <w:numId w:val="232"/>
        </w:numPr>
        <w:spacing w:lineRule="auto" w:line="360" w:before="0" w:after="0"/>
        <w:jc w:val="left"/>
        <w:rPr>
          <w:rFonts w:ascii="Arial" w:hAnsi="Arial" w:cs="Arial"/>
          <w:sz w:val="20"/>
          <w:szCs w:val="20"/>
        </w:rPr>
      </w:pPr>
      <w:r>
        <w:rPr>
          <w:rFonts w:cs="Arial" w:ascii="Arial" w:hAnsi="Arial"/>
          <w:sz w:val="20"/>
          <w:szCs w:val="20"/>
        </w:rPr>
        <w:t>Wiek</w:t>
      </w:r>
    </w:p>
    <w:p>
      <w:pPr>
        <w:pStyle w:val="NormalWeb"/>
        <w:numPr>
          <w:ilvl w:val="1"/>
          <w:numId w:val="233"/>
        </w:numPr>
        <w:spacing w:lineRule="auto" w:line="360" w:before="0" w:after="0"/>
        <w:jc w:val="left"/>
        <w:rPr>
          <w:rFonts w:ascii="Arial" w:hAnsi="Arial" w:cs="Arial"/>
          <w:sz w:val="20"/>
          <w:szCs w:val="20"/>
        </w:rPr>
      </w:pPr>
      <w:r>
        <w:rPr>
          <w:rFonts w:cs="Arial" w:ascii="Arial" w:hAnsi="Arial"/>
          <w:sz w:val="20"/>
          <w:szCs w:val="20"/>
        </w:rPr>
        <w:t>Proszę wskazać liczbę lat……………………..</w:t>
      </w:r>
    </w:p>
    <w:p>
      <w:pPr>
        <w:pStyle w:val="NormalWeb"/>
        <w:numPr>
          <w:ilvl w:val="0"/>
          <w:numId w:val="234"/>
        </w:numPr>
        <w:spacing w:lineRule="auto" w:line="360" w:before="0" w:after="0"/>
        <w:jc w:val="left"/>
        <w:rPr>
          <w:rFonts w:ascii="Arial" w:hAnsi="Arial" w:cs="Arial"/>
          <w:sz w:val="20"/>
          <w:szCs w:val="20"/>
        </w:rPr>
      </w:pPr>
      <w:r>
        <w:rPr>
          <w:rFonts w:cs="Arial" w:ascii="Arial" w:hAnsi="Arial"/>
          <w:sz w:val="20"/>
          <w:szCs w:val="20"/>
        </w:rPr>
        <w:t>Status zawodowy</w:t>
      </w:r>
    </w:p>
    <w:p>
      <w:pPr>
        <w:pStyle w:val="NormalWeb"/>
        <w:numPr>
          <w:ilvl w:val="1"/>
          <w:numId w:val="235"/>
        </w:numPr>
        <w:spacing w:lineRule="auto" w:line="360" w:before="0" w:after="0"/>
        <w:jc w:val="left"/>
        <w:rPr>
          <w:rFonts w:ascii="Arial" w:hAnsi="Arial" w:cs="Arial"/>
          <w:sz w:val="20"/>
          <w:szCs w:val="20"/>
        </w:rPr>
      </w:pPr>
      <w:r>
        <w:rPr>
          <w:rFonts w:cs="Arial" w:ascii="Arial" w:hAnsi="Arial"/>
          <w:sz w:val="20"/>
          <w:szCs w:val="20"/>
        </w:rPr>
        <w:t>Uczeń/student</w:t>
      </w:r>
    </w:p>
    <w:p>
      <w:pPr>
        <w:pStyle w:val="NormalWeb"/>
        <w:numPr>
          <w:ilvl w:val="1"/>
          <w:numId w:val="236"/>
        </w:numPr>
        <w:spacing w:lineRule="auto" w:line="360" w:before="0" w:after="0"/>
        <w:jc w:val="left"/>
        <w:rPr>
          <w:rFonts w:ascii="Arial" w:hAnsi="Arial" w:cs="Arial"/>
          <w:sz w:val="20"/>
          <w:szCs w:val="20"/>
        </w:rPr>
      </w:pPr>
      <w:r>
        <w:rPr>
          <w:rFonts w:cs="Arial" w:ascii="Arial" w:hAnsi="Arial"/>
          <w:sz w:val="20"/>
          <w:szCs w:val="20"/>
        </w:rPr>
        <w:t>Niepracujący</w:t>
      </w:r>
    </w:p>
    <w:p>
      <w:pPr>
        <w:pStyle w:val="NormalWeb"/>
        <w:numPr>
          <w:ilvl w:val="1"/>
          <w:numId w:val="237"/>
        </w:numPr>
        <w:spacing w:lineRule="auto" w:line="360" w:before="0" w:after="0"/>
        <w:jc w:val="left"/>
        <w:rPr>
          <w:rFonts w:ascii="Arial" w:hAnsi="Arial" w:cs="Arial"/>
          <w:sz w:val="20"/>
          <w:szCs w:val="20"/>
        </w:rPr>
      </w:pPr>
      <w:r>
        <w:rPr>
          <w:rFonts w:cs="Arial" w:ascii="Arial" w:hAnsi="Arial"/>
          <w:sz w:val="20"/>
          <w:szCs w:val="20"/>
        </w:rPr>
        <w:t xml:space="preserve">Pracujący </w:t>
      </w:r>
    </w:p>
    <w:p>
      <w:pPr>
        <w:pStyle w:val="NormalWeb"/>
        <w:numPr>
          <w:ilvl w:val="1"/>
          <w:numId w:val="238"/>
        </w:numPr>
        <w:spacing w:lineRule="auto" w:line="360" w:before="0" w:after="0"/>
        <w:jc w:val="left"/>
        <w:rPr>
          <w:rFonts w:ascii="Arial" w:hAnsi="Arial" w:cs="Arial"/>
          <w:sz w:val="20"/>
          <w:szCs w:val="20"/>
        </w:rPr>
      </w:pPr>
      <w:r>
        <w:rPr>
          <w:rFonts w:cs="Arial" w:ascii="Arial" w:hAnsi="Arial"/>
          <w:sz w:val="20"/>
          <w:szCs w:val="20"/>
        </w:rPr>
        <w:t>Emeryt/rencista</w:t>
      </w:r>
    </w:p>
    <w:p>
      <w:pPr>
        <w:pStyle w:val="NormalWeb"/>
        <w:numPr>
          <w:ilvl w:val="0"/>
          <w:numId w:val="239"/>
        </w:numPr>
        <w:spacing w:lineRule="auto" w:line="360" w:before="0" w:after="0"/>
        <w:jc w:val="left"/>
        <w:rPr>
          <w:rFonts w:ascii="Arial" w:hAnsi="Arial" w:cs="Arial"/>
          <w:sz w:val="20"/>
          <w:szCs w:val="20"/>
        </w:rPr>
      </w:pPr>
      <w:r>
        <w:rPr>
          <w:rFonts w:cs="Arial" w:ascii="Arial" w:hAnsi="Arial"/>
          <w:sz w:val="20"/>
          <w:szCs w:val="20"/>
        </w:rPr>
        <w:t>Miejsce zamieszkania</w:t>
      </w:r>
    </w:p>
    <w:p>
      <w:pPr>
        <w:pStyle w:val="NormalWeb"/>
        <w:numPr>
          <w:ilvl w:val="1"/>
          <w:numId w:val="240"/>
        </w:numPr>
        <w:spacing w:lineRule="auto" w:line="360" w:before="0" w:after="0"/>
        <w:jc w:val="left"/>
        <w:rPr>
          <w:rFonts w:ascii="Arial" w:hAnsi="Arial" w:cs="Arial"/>
          <w:sz w:val="20"/>
          <w:szCs w:val="20"/>
        </w:rPr>
      </w:pPr>
      <w:r>
        <w:rPr>
          <w:rFonts w:cs="Arial" w:ascii="Arial" w:hAnsi="Arial"/>
          <w:sz w:val="20"/>
          <w:szCs w:val="20"/>
        </w:rPr>
        <w:t xml:space="preserve">Miasto </w:t>
      </w:r>
    </w:p>
    <w:p>
      <w:pPr>
        <w:pStyle w:val="NormalWeb"/>
        <w:numPr>
          <w:ilvl w:val="1"/>
          <w:numId w:val="241"/>
        </w:numPr>
        <w:spacing w:lineRule="auto" w:line="360" w:before="0" w:after="280"/>
        <w:jc w:val="left"/>
        <w:rPr>
          <w:rFonts w:ascii="Arial" w:hAnsi="Arial" w:cs="Arial"/>
          <w:sz w:val="20"/>
          <w:szCs w:val="20"/>
        </w:rPr>
      </w:pPr>
      <w:r>
        <w:rPr>
          <w:rFonts w:cs="Arial" w:ascii="Arial" w:hAnsi="Arial"/>
          <w:sz w:val="20"/>
          <w:szCs w:val="20"/>
        </w:rPr>
        <w:t>Wieś</w:t>
      </w:r>
    </w:p>
    <w:p>
      <w:pPr>
        <w:pStyle w:val="NormalWeb"/>
        <w:spacing w:lineRule="auto" w:line="360" w:before="280" w:after="280"/>
        <w:rPr>
          <w:rFonts w:ascii="Arial" w:hAnsi="Arial" w:cs="Arial"/>
          <w:b/>
          <w:bCs/>
        </w:rPr>
      </w:pPr>
      <w:r>
        <w:rPr>
          <w:rFonts w:cs="Arial" w:ascii="Arial" w:hAnsi="Arial"/>
          <w:b/>
          <w:bCs/>
        </w:rPr>
        <w:t>ANKIETA</w:t>
      </w:r>
    </w:p>
    <w:p>
      <w:pPr>
        <w:pStyle w:val="NormalWeb"/>
        <w:spacing w:lineRule="auto" w:line="360" w:before="280" w:after="280"/>
        <w:jc w:val="both"/>
        <w:rPr>
          <w:rFonts w:ascii="Arial" w:hAnsi="Arial" w:cs="Arial"/>
          <w:sz w:val="20"/>
          <w:szCs w:val="20"/>
        </w:rPr>
      </w:pPr>
      <w:r>
        <w:rPr>
          <w:rFonts w:cs="Arial" w:ascii="Arial" w:hAnsi="Arial"/>
          <w:sz w:val="20"/>
          <w:szCs w:val="20"/>
        </w:rPr>
        <w:t>Ankieta jest anonimowa, zebrane informację będą wykorzystane w procesie przygotowania gminnego programu usług społecznych na najbliższe lata.</w:t>
      </w:r>
    </w:p>
    <w:p>
      <w:pPr>
        <w:pStyle w:val="NormalWeb"/>
        <w:numPr>
          <w:ilvl w:val="0"/>
          <w:numId w:val="242"/>
        </w:numPr>
        <w:spacing w:lineRule="auto" w:line="360" w:before="280" w:after="0"/>
        <w:jc w:val="both"/>
        <w:rPr>
          <w:rFonts w:ascii="Arial" w:hAnsi="Arial" w:cs="Arial"/>
          <w:sz w:val="20"/>
          <w:szCs w:val="20"/>
        </w:rPr>
      </w:pPr>
      <w:r>
        <w:rPr>
          <w:rFonts w:cs="Arial" w:ascii="Arial" w:hAnsi="Arial"/>
          <w:sz w:val="20"/>
          <w:szCs w:val="20"/>
        </w:rPr>
        <w:t>Czy korzysta Pan/Pani z usług społecznych (odpłatnych lub nieodpłatnych) w miejscu swojego zamieszkania?</w:t>
      </w:r>
    </w:p>
    <w:p>
      <w:pPr>
        <w:pStyle w:val="NormalWeb"/>
        <w:numPr>
          <w:ilvl w:val="1"/>
          <w:numId w:val="243"/>
        </w:numPr>
        <w:spacing w:lineRule="auto" w:line="360" w:before="0" w:after="0"/>
        <w:jc w:val="both"/>
        <w:rPr>
          <w:rFonts w:ascii="Arial" w:hAnsi="Arial" w:cs="Arial"/>
          <w:sz w:val="20"/>
          <w:szCs w:val="20"/>
        </w:rPr>
      </w:pPr>
      <w:r>
        <w:rPr>
          <w:rFonts w:cs="Arial" w:ascii="Arial" w:hAnsi="Arial"/>
          <w:sz w:val="20"/>
          <w:szCs w:val="20"/>
        </w:rPr>
        <w:t>Tak</w:t>
      </w:r>
    </w:p>
    <w:p>
      <w:pPr>
        <w:pStyle w:val="NormalWeb"/>
        <w:numPr>
          <w:ilvl w:val="1"/>
          <w:numId w:val="244"/>
        </w:numPr>
        <w:spacing w:lineRule="auto" w:line="360" w:before="0" w:after="0"/>
        <w:jc w:val="both"/>
        <w:rPr>
          <w:rFonts w:ascii="Arial" w:hAnsi="Arial" w:cs="Arial"/>
          <w:sz w:val="20"/>
          <w:szCs w:val="20"/>
        </w:rPr>
      </w:pPr>
      <w:r>
        <w:rPr>
          <w:rFonts w:cs="Arial" w:ascii="Arial" w:hAnsi="Arial"/>
          <w:sz w:val="20"/>
          <w:szCs w:val="20"/>
        </w:rPr>
        <w:t>Nie</w:t>
      </w:r>
    </w:p>
    <w:p>
      <w:pPr>
        <w:pStyle w:val="NormalWeb"/>
        <w:numPr>
          <w:ilvl w:val="1"/>
          <w:numId w:val="245"/>
        </w:numPr>
        <w:spacing w:lineRule="auto" w:line="360" w:before="0" w:after="0"/>
        <w:jc w:val="both"/>
        <w:rPr>
          <w:rFonts w:ascii="Arial" w:hAnsi="Arial" w:cs="Arial"/>
          <w:sz w:val="20"/>
          <w:szCs w:val="20"/>
        </w:rPr>
      </w:pPr>
      <w:r>
        <w:rPr>
          <w:rFonts w:cs="Arial" w:ascii="Arial" w:hAnsi="Arial"/>
          <w:sz w:val="20"/>
          <w:szCs w:val="20"/>
        </w:rPr>
        <w:t>Nie wiem, czy to z czego korzystam jest usługą społeczną</w:t>
      </w:r>
    </w:p>
    <w:p>
      <w:pPr>
        <w:pStyle w:val="NormalWeb"/>
        <w:numPr>
          <w:ilvl w:val="1"/>
          <w:numId w:val="246"/>
        </w:numPr>
        <w:spacing w:lineRule="auto" w:line="360" w:before="0" w:after="0"/>
        <w:jc w:val="both"/>
        <w:rPr>
          <w:rFonts w:ascii="Arial" w:hAnsi="Arial" w:cs="Arial"/>
          <w:sz w:val="20"/>
          <w:szCs w:val="20"/>
        </w:rPr>
      </w:pPr>
      <w:r>
        <w:rPr>
          <w:rFonts w:cs="Arial" w:ascii="Arial" w:hAnsi="Arial"/>
          <w:sz w:val="20"/>
          <w:szCs w:val="20"/>
        </w:rPr>
        <w:t>Korzystałbym/korzystałabym, gdyby takie usługi były</w:t>
      </w:r>
    </w:p>
    <w:p>
      <w:pPr>
        <w:pStyle w:val="NormalWeb"/>
        <w:numPr>
          <w:ilvl w:val="0"/>
          <w:numId w:val="247"/>
        </w:numPr>
        <w:spacing w:lineRule="auto" w:line="360" w:before="0" w:after="0"/>
        <w:jc w:val="both"/>
        <w:rPr>
          <w:rFonts w:ascii="Arial" w:hAnsi="Arial" w:cs="Arial"/>
          <w:sz w:val="20"/>
          <w:szCs w:val="20"/>
        </w:rPr>
      </w:pPr>
      <w:r>
        <w:rPr>
          <w:rFonts w:cs="Arial" w:ascii="Arial" w:hAnsi="Arial"/>
          <w:sz w:val="20"/>
          <w:szCs w:val="20"/>
        </w:rPr>
        <w:t>Czy będzie Pan/Pani zainteresowana korzystaniem z usług społecznych jeśli zostaną zapewnione na terenie Gminy Bychawa?</w:t>
      </w:r>
    </w:p>
    <w:p>
      <w:pPr>
        <w:pStyle w:val="NormalWeb"/>
        <w:numPr>
          <w:ilvl w:val="1"/>
          <w:numId w:val="248"/>
        </w:numPr>
        <w:spacing w:lineRule="auto" w:line="360" w:before="0" w:after="0"/>
        <w:jc w:val="both"/>
        <w:rPr>
          <w:rFonts w:ascii="Arial" w:hAnsi="Arial" w:cs="Arial"/>
          <w:sz w:val="20"/>
          <w:szCs w:val="20"/>
        </w:rPr>
      </w:pPr>
      <w:r>
        <w:rPr>
          <w:rFonts w:cs="Arial" w:ascii="Arial" w:hAnsi="Arial"/>
          <w:sz w:val="20"/>
          <w:szCs w:val="20"/>
        </w:rPr>
        <w:t>Tak</w:t>
      </w:r>
    </w:p>
    <w:p>
      <w:pPr>
        <w:pStyle w:val="NormalWeb"/>
        <w:numPr>
          <w:ilvl w:val="1"/>
          <w:numId w:val="249"/>
        </w:numPr>
        <w:spacing w:lineRule="auto" w:line="360" w:before="0" w:after="0"/>
        <w:jc w:val="both"/>
        <w:rPr>
          <w:rFonts w:ascii="Arial" w:hAnsi="Arial" w:cs="Arial"/>
          <w:sz w:val="20"/>
          <w:szCs w:val="20"/>
        </w:rPr>
      </w:pPr>
      <w:r>
        <w:rPr>
          <w:rFonts w:cs="Arial" w:ascii="Arial" w:hAnsi="Arial"/>
          <w:sz w:val="20"/>
          <w:szCs w:val="20"/>
        </w:rPr>
        <w:t xml:space="preserve">Nie </w:t>
      </w:r>
    </w:p>
    <w:p>
      <w:pPr>
        <w:pStyle w:val="NormalWeb"/>
        <w:numPr>
          <w:ilvl w:val="1"/>
          <w:numId w:val="250"/>
        </w:numPr>
        <w:spacing w:lineRule="auto" w:line="360" w:before="0" w:after="0"/>
        <w:jc w:val="both"/>
        <w:rPr>
          <w:rFonts w:ascii="Arial" w:hAnsi="Arial" w:cs="Arial"/>
          <w:sz w:val="20"/>
          <w:szCs w:val="20"/>
        </w:rPr>
      </w:pPr>
      <w:r>
        <w:rPr>
          <w:rFonts w:cs="Arial" w:ascii="Arial" w:hAnsi="Arial"/>
          <w:sz w:val="20"/>
          <w:szCs w:val="20"/>
        </w:rPr>
        <w:t>Nie wiem, trudno powiedzieć</w:t>
      </w:r>
    </w:p>
    <w:p>
      <w:pPr>
        <w:pStyle w:val="NormalWeb"/>
        <w:numPr>
          <w:ilvl w:val="0"/>
          <w:numId w:val="251"/>
        </w:numPr>
        <w:spacing w:lineRule="auto" w:line="360" w:before="0" w:after="0"/>
        <w:jc w:val="both"/>
        <w:rPr>
          <w:rFonts w:ascii="Arial" w:hAnsi="Arial" w:cs="Arial"/>
          <w:sz w:val="20"/>
          <w:szCs w:val="20"/>
        </w:rPr>
      </w:pPr>
      <w:r>
        <w:rPr>
          <w:rFonts w:cs="Arial" w:ascii="Arial" w:hAnsi="Arial"/>
          <w:sz w:val="20"/>
          <w:szCs w:val="20"/>
        </w:rPr>
        <w:t>Który z poniżej wymienionych obszarów wymaga Pani/Pana zdaniem największego zainteresowania w rozwoju usług społecznych? – proszę wskazać maksymalnie 3 obszary.</w:t>
      </w:r>
    </w:p>
    <w:p>
      <w:pPr>
        <w:pStyle w:val="NormalWeb"/>
        <w:numPr>
          <w:ilvl w:val="1"/>
          <w:numId w:val="252"/>
        </w:numPr>
        <w:spacing w:lineRule="auto" w:line="360" w:before="0" w:after="0"/>
        <w:jc w:val="both"/>
        <w:rPr>
          <w:rFonts w:ascii="Arial" w:hAnsi="Arial" w:cs="Arial"/>
          <w:sz w:val="20"/>
          <w:szCs w:val="20"/>
        </w:rPr>
      </w:pPr>
      <w:r>
        <w:rPr>
          <w:rFonts w:cs="Arial" w:ascii="Arial" w:hAnsi="Arial"/>
          <w:sz w:val="20"/>
          <w:szCs w:val="20"/>
        </w:rPr>
        <w:t>Ochrona zdrowia</w:t>
      </w:r>
    </w:p>
    <w:p>
      <w:pPr>
        <w:pStyle w:val="NormalWeb"/>
        <w:numPr>
          <w:ilvl w:val="1"/>
          <w:numId w:val="253"/>
        </w:numPr>
        <w:spacing w:lineRule="auto" w:line="360" w:before="0" w:after="0"/>
        <w:jc w:val="both"/>
        <w:rPr>
          <w:rFonts w:ascii="Arial" w:hAnsi="Arial" w:cs="Arial"/>
          <w:sz w:val="20"/>
          <w:szCs w:val="20"/>
        </w:rPr>
      </w:pPr>
      <w:r>
        <w:rPr>
          <w:rFonts w:cs="Arial" w:ascii="Arial" w:hAnsi="Arial"/>
          <w:sz w:val="20"/>
          <w:szCs w:val="20"/>
        </w:rPr>
        <w:t>Edukacja i szkolnictwo</w:t>
      </w:r>
    </w:p>
    <w:p>
      <w:pPr>
        <w:pStyle w:val="NormalWeb"/>
        <w:numPr>
          <w:ilvl w:val="1"/>
          <w:numId w:val="254"/>
        </w:numPr>
        <w:spacing w:lineRule="auto" w:line="360" w:before="0" w:after="0"/>
        <w:jc w:val="both"/>
        <w:rPr>
          <w:rFonts w:ascii="Arial" w:hAnsi="Arial" w:cs="Arial"/>
          <w:sz w:val="20"/>
          <w:szCs w:val="20"/>
        </w:rPr>
      </w:pPr>
      <w:r>
        <w:rPr>
          <w:rFonts w:cs="Arial" w:ascii="Arial" w:hAnsi="Arial"/>
          <w:sz w:val="20"/>
          <w:szCs w:val="20"/>
        </w:rPr>
        <w:t xml:space="preserve">Opieka przedszkolna </w:t>
      </w:r>
    </w:p>
    <w:p>
      <w:pPr>
        <w:pStyle w:val="NormalWeb"/>
        <w:numPr>
          <w:ilvl w:val="1"/>
          <w:numId w:val="255"/>
        </w:numPr>
        <w:spacing w:lineRule="auto" w:line="360" w:before="0" w:after="0"/>
        <w:jc w:val="both"/>
        <w:rPr>
          <w:rFonts w:ascii="Arial" w:hAnsi="Arial" w:cs="Arial"/>
          <w:sz w:val="20"/>
          <w:szCs w:val="20"/>
        </w:rPr>
      </w:pPr>
      <w:r>
        <w:rPr>
          <w:rFonts w:cs="Arial" w:ascii="Arial" w:hAnsi="Arial"/>
          <w:sz w:val="20"/>
          <w:szCs w:val="20"/>
        </w:rPr>
        <w:t>Zapewnienie opieki dzieciom do lat 3</w:t>
      </w:r>
    </w:p>
    <w:p>
      <w:pPr>
        <w:pStyle w:val="NormalWeb"/>
        <w:numPr>
          <w:ilvl w:val="1"/>
          <w:numId w:val="256"/>
        </w:numPr>
        <w:spacing w:lineRule="auto" w:line="360" w:before="0" w:after="0"/>
        <w:jc w:val="both"/>
        <w:rPr>
          <w:rFonts w:ascii="Arial" w:hAnsi="Arial" w:cs="Arial"/>
          <w:sz w:val="20"/>
          <w:szCs w:val="20"/>
        </w:rPr>
      </w:pPr>
      <w:r>
        <w:rPr>
          <w:rFonts w:cs="Arial" w:ascii="Arial" w:hAnsi="Arial"/>
          <w:sz w:val="20"/>
          <w:szCs w:val="20"/>
        </w:rPr>
        <w:t>Kultura i rozrywka</w:t>
      </w:r>
    </w:p>
    <w:p>
      <w:pPr>
        <w:pStyle w:val="NormalWeb"/>
        <w:numPr>
          <w:ilvl w:val="1"/>
          <w:numId w:val="257"/>
        </w:numPr>
        <w:spacing w:lineRule="auto" w:line="360" w:before="0" w:after="0"/>
        <w:jc w:val="both"/>
        <w:rPr>
          <w:rFonts w:ascii="Arial" w:hAnsi="Arial" w:cs="Arial"/>
          <w:sz w:val="20"/>
          <w:szCs w:val="20"/>
        </w:rPr>
      </w:pPr>
      <w:r>
        <w:rPr>
          <w:rFonts w:cs="Arial" w:ascii="Arial" w:hAnsi="Arial"/>
          <w:sz w:val="20"/>
          <w:szCs w:val="20"/>
        </w:rPr>
        <w:t xml:space="preserve">Sport </w:t>
      </w:r>
    </w:p>
    <w:p>
      <w:pPr>
        <w:pStyle w:val="NormalWeb"/>
        <w:numPr>
          <w:ilvl w:val="1"/>
          <w:numId w:val="258"/>
        </w:numPr>
        <w:spacing w:lineRule="auto" w:line="360" w:before="0" w:after="0"/>
        <w:jc w:val="both"/>
        <w:rPr>
          <w:rFonts w:ascii="Arial" w:hAnsi="Arial" w:cs="Arial"/>
          <w:sz w:val="20"/>
          <w:szCs w:val="20"/>
        </w:rPr>
      </w:pPr>
      <w:r>
        <w:rPr>
          <w:rFonts w:cs="Arial" w:ascii="Arial" w:hAnsi="Arial"/>
          <w:sz w:val="20"/>
          <w:szCs w:val="20"/>
        </w:rPr>
        <w:t>Turystyka</w:t>
      </w:r>
    </w:p>
    <w:p>
      <w:pPr>
        <w:pStyle w:val="NormalWeb"/>
        <w:numPr>
          <w:ilvl w:val="1"/>
          <w:numId w:val="259"/>
        </w:numPr>
        <w:spacing w:lineRule="auto" w:line="360" w:before="0" w:after="0"/>
        <w:jc w:val="both"/>
        <w:rPr>
          <w:rFonts w:ascii="Arial" w:hAnsi="Arial" w:cs="Arial"/>
          <w:sz w:val="20"/>
          <w:szCs w:val="20"/>
        </w:rPr>
      </w:pPr>
      <w:r>
        <w:rPr>
          <w:rFonts w:cs="Arial" w:ascii="Arial" w:hAnsi="Arial"/>
          <w:sz w:val="20"/>
          <w:szCs w:val="20"/>
        </w:rPr>
        <w:t>Wspieranie rodziny</w:t>
      </w:r>
    </w:p>
    <w:p>
      <w:pPr>
        <w:pStyle w:val="NormalWeb"/>
        <w:numPr>
          <w:ilvl w:val="1"/>
          <w:numId w:val="260"/>
        </w:numPr>
        <w:spacing w:lineRule="auto" w:line="360" w:before="0" w:after="0"/>
        <w:jc w:val="both"/>
        <w:rPr>
          <w:rFonts w:ascii="Arial" w:hAnsi="Arial" w:cs="Arial"/>
          <w:sz w:val="20"/>
          <w:szCs w:val="20"/>
        </w:rPr>
      </w:pPr>
      <w:r>
        <w:rPr>
          <w:rFonts w:cs="Arial" w:ascii="Arial" w:hAnsi="Arial"/>
          <w:sz w:val="20"/>
          <w:szCs w:val="20"/>
        </w:rPr>
        <w:t>Wspieranie osób niepełnosprawnych i och rodzin</w:t>
      </w:r>
    </w:p>
    <w:p>
      <w:pPr>
        <w:pStyle w:val="NormalWeb"/>
        <w:numPr>
          <w:ilvl w:val="1"/>
          <w:numId w:val="261"/>
        </w:numPr>
        <w:spacing w:lineRule="auto" w:line="360" w:before="0" w:after="0"/>
        <w:jc w:val="both"/>
        <w:rPr>
          <w:rFonts w:ascii="Arial" w:hAnsi="Arial" w:cs="Arial"/>
          <w:sz w:val="20"/>
          <w:szCs w:val="20"/>
        </w:rPr>
      </w:pPr>
      <w:r>
        <w:rPr>
          <w:rFonts w:cs="Arial" w:ascii="Arial" w:hAnsi="Arial"/>
          <w:sz w:val="20"/>
          <w:szCs w:val="20"/>
        </w:rPr>
        <w:t>Wspieranie osób dotkniętych przemocą domową</w:t>
      </w:r>
    </w:p>
    <w:p>
      <w:pPr>
        <w:pStyle w:val="NormalWeb"/>
        <w:numPr>
          <w:ilvl w:val="1"/>
          <w:numId w:val="262"/>
        </w:numPr>
        <w:spacing w:lineRule="auto" w:line="360" w:before="0" w:after="0"/>
        <w:jc w:val="both"/>
        <w:rPr>
          <w:rFonts w:ascii="Arial" w:hAnsi="Arial" w:cs="Arial"/>
          <w:sz w:val="20"/>
          <w:szCs w:val="20"/>
        </w:rPr>
      </w:pPr>
      <w:r>
        <w:rPr>
          <w:rFonts w:cs="Arial" w:ascii="Arial" w:hAnsi="Arial"/>
          <w:sz w:val="20"/>
          <w:szCs w:val="20"/>
        </w:rPr>
        <w:t xml:space="preserve">Wspieranie seniorów i ich rodzin </w:t>
      </w:r>
    </w:p>
    <w:p>
      <w:pPr>
        <w:pStyle w:val="NormalWeb"/>
        <w:numPr>
          <w:ilvl w:val="1"/>
          <w:numId w:val="263"/>
        </w:numPr>
        <w:spacing w:lineRule="auto" w:line="360" w:before="0" w:after="0"/>
        <w:jc w:val="both"/>
        <w:rPr>
          <w:rFonts w:ascii="Arial" w:hAnsi="Arial" w:cs="Arial"/>
          <w:sz w:val="20"/>
          <w:szCs w:val="20"/>
        </w:rPr>
      </w:pPr>
      <w:r>
        <w:rPr>
          <w:rFonts w:cs="Arial" w:ascii="Arial" w:hAnsi="Arial"/>
          <w:sz w:val="20"/>
          <w:szCs w:val="20"/>
        </w:rPr>
        <w:t>Inny obszar - proszę wskazać jaki.</w:t>
      </w:r>
    </w:p>
    <w:p>
      <w:pPr>
        <w:pStyle w:val="NormalWeb"/>
        <w:numPr>
          <w:ilvl w:val="0"/>
          <w:numId w:val="264"/>
        </w:numPr>
        <w:spacing w:lineRule="auto" w:line="360" w:before="0" w:after="0"/>
        <w:jc w:val="both"/>
        <w:rPr>
          <w:rFonts w:ascii="Arial" w:hAnsi="Arial" w:cs="Arial"/>
          <w:sz w:val="20"/>
          <w:szCs w:val="20"/>
        </w:rPr>
      </w:pPr>
      <w:r>
        <w:rPr>
          <w:rFonts w:cs="Arial" w:ascii="Arial" w:hAnsi="Arial"/>
          <w:sz w:val="20"/>
          <w:szCs w:val="20"/>
        </w:rPr>
        <w:t>Jaki Pani/Pana zdaniem zakres usług społecznych powinien wypełniać obszar ochrony zdrowia (poza świadczeniami medycznymi dostępnymi i finansowanymi obecnie w ramach Narodowego Funduszu Zdrowia)?  -  proszę wybrać maksymalnie 3 odpowiedzi.</w:t>
      </w:r>
    </w:p>
    <w:p>
      <w:pPr>
        <w:pStyle w:val="NormalWeb"/>
        <w:numPr>
          <w:ilvl w:val="1"/>
          <w:numId w:val="265"/>
        </w:numPr>
        <w:spacing w:lineRule="auto" w:line="360" w:before="0" w:after="0"/>
        <w:jc w:val="both"/>
        <w:rPr>
          <w:rFonts w:ascii="Arial" w:hAnsi="Arial" w:cs="Arial"/>
          <w:sz w:val="20"/>
          <w:szCs w:val="20"/>
        </w:rPr>
      </w:pPr>
      <w:r>
        <w:rPr>
          <w:rFonts w:cs="Arial" w:ascii="Arial" w:hAnsi="Arial"/>
          <w:sz w:val="20"/>
          <w:szCs w:val="20"/>
        </w:rPr>
        <w:t xml:space="preserve">Edukację zdrowotną (młodzieży, seniorów, osób z problemami zdrowotnymi </w:t>
        <w:br/>
        <w:t>i niepełnosprawnością)</w:t>
      </w:r>
    </w:p>
    <w:p>
      <w:pPr>
        <w:pStyle w:val="NormalWeb"/>
        <w:numPr>
          <w:ilvl w:val="1"/>
          <w:numId w:val="266"/>
        </w:numPr>
        <w:spacing w:lineRule="auto" w:line="360" w:before="0" w:after="0"/>
        <w:jc w:val="both"/>
        <w:rPr>
          <w:rFonts w:ascii="Arial" w:hAnsi="Arial" w:cs="Arial"/>
          <w:sz w:val="20"/>
          <w:szCs w:val="20"/>
        </w:rPr>
      </w:pPr>
      <w:r>
        <w:rPr>
          <w:rFonts w:cs="Arial" w:ascii="Arial" w:hAnsi="Arial"/>
          <w:sz w:val="20"/>
          <w:szCs w:val="20"/>
        </w:rPr>
        <w:t>Powszechną edukację mieszkańców w zakresie pierwszej pomocy przedmedycznej</w:t>
      </w:r>
    </w:p>
    <w:p>
      <w:pPr>
        <w:pStyle w:val="NormalWeb"/>
        <w:numPr>
          <w:ilvl w:val="1"/>
          <w:numId w:val="267"/>
        </w:numPr>
        <w:spacing w:lineRule="auto" w:line="360" w:before="0" w:after="0"/>
        <w:jc w:val="both"/>
        <w:rPr>
          <w:rFonts w:ascii="Arial" w:hAnsi="Arial" w:cs="Arial"/>
          <w:sz w:val="20"/>
          <w:szCs w:val="20"/>
        </w:rPr>
      </w:pPr>
      <w:r>
        <w:rPr>
          <w:rFonts w:cs="Arial" w:ascii="Arial" w:hAnsi="Arial"/>
          <w:sz w:val="20"/>
          <w:szCs w:val="20"/>
        </w:rPr>
        <w:t>Profilaktykę zdrowia (szczepienia, badania profilaktyczne w ramach usług finansowanych przez gminę itp.)</w:t>
      </w:r>
    </w:p>
    <w:p>
      <w:pPr>
        <w:pStyle w:val="NormalWeb"/>
        <w:numPr>
          <w:ilvl w:val="1"/>
          <w:numId w:val="268"/>
        </w:numPr>
        <w:spacing w:lineRule="auto" w:line="360" w:before="0" w:after="0"/>
        <w:jc w:val="both"/>
        <w:rPr>
          <w:rFonts w:ascii="Arial" w:hAnsi="Arial" w:cs="Arial"/>
          <w:sz w:val="20"/>
          <w:szCs w:val="20"/>
        </w:rPr>
      </w:pPr>
      <w:r>
        <w:rPr>
          <w:rFonts w:cs="Arial" w:ascii="Arial" w:hAnsi="Arial"/>
          <w:sz w:val="20"/>
          <w:szCs w:val="20"/>
        </w:rPr>
        <w:t>Rehabilitację</w:t>
      </w:r>
    </w:p>
    <w:p>
      <w:pPr>
        <w:pStyle w:val="NormalWeb"/>
        <w:numPr>
          <w:ilvl w:val="1"/>
          <w:numId w:val="269"/>
        </w:numPr>
        <w:spacing w:lineRule="auto" w:line="360" w:before="0" w:after="0"/>
        <w:jc w:val="both"/>
        <w:rPr>
          <w:rFonts w:ascii="Arial" w:hAnsi="Arial" w:cs="Arial"/>
          <w:sz w:val="20"/>
          <w:szCs w:val="20"/>
        </w:rPr>
      </w:pPr>
      <w:r>
        <w:rPr>
          <w:rFonts w:cs="Arial" w:ascii="Arial" w:hAnsi="Arial"/>
          <w:sz w:val="20"/>
          <w:szCs w:val="20"/>
        </w:rPr>
        <w:t xml:space="preserve">Ćwiczenia ogólnousprawniające i wspomagające funkcjonalność </w:t>
      </w:r>
    </w:p>
    <w:p>
      <w:pPr>
        <w:pStyle w:val="NormalWeb"/>
        <w:numPr>
          <w:ilvl w:val="1"/>
          <w:numId w:val="270"/>
        </w:numPr>
        <w:spacing w:lineRule="auto" w:line="360" w:before="0" w:after="0"/>
        <w:jc w:val="both"/>
        <w:rPr>
          <w:rFonts w:ascii="Arial" w:hAnsi="Arial" w:cs="Arial"/>
          <w:sz w:val="20"/>
          <w:szCs w:val="20"/>
        </w:rPr>
      </w:pPr>
      <w:r>
        <w:rPr>
          <w:rFonts w:cs="Arial" w:ascii="Arial" w:hAnsi="Arial"/>
          <w:sz w:val="20"/>
          <w:szCs w:val="20"/>
        </w:rPr>
        <w:t xml:space="preserve">Inne – jakie…………………………………………………………………………………… </w:t>
      </w:r>
    </w:p>
    <w:p>
      <w:pPr>
        <w:pStyle w:val="NormalWeb"/>
        <w:numPr>
          <w:ilvl w:val="0"/>
          <w:numId w:val="271"/>
        </w:numPr>
        <w:spacing w:lineRule="auto" w:line="360" w:before="0" w:after="0"/>
        <w:jc w:val="both"/>
        <w:rPr>
          <w:rFonts w:ascii="Arial" w:hAnsi="Arial" w:cs="Arial"/>
          <w:sz w:val="20"/>
          <w:szCs w:val="20"/>
        </w:rPr>
      </w:pPr>
      <w:r>
        <w:rPr>
          <w:rFonts w:cs="Arial" w:ascii="Arial" w:hAnsi="Arial"/>
          <w:sz w:val="20"/>
          <w:szCs w:val="20"/>
        </w:rPr>
        <w:t xml:space="preserve">Jaki Pani/Pana zdaniem zakres usług społecznych powinien wypełniać obszar edukacji? </w:t>
        <w:br/>
      </w:r>
      <w:bookmarkStart w:id="41" w:name="_Hlk208163937"/>
      <w:r>
        <w:rPr>
          <w:rFonts w:cs="Arial" w:ascii="Arial" w:hAnsi="Arial"/>
          <w:sz w:val="20"/>
          <w:szCs w:val="20"/>
        </w:rPr>
        <w:t>-  proszę wybrać maksymalnie 3 odpowiedzi.</w:t>
      </w:r>
      <w:bookmarkEnd w:id="41"/>
    </w:p>
    <w:p>
      <w:pPr>
        <w:pStyle w:val="NormalWeb"/>
        <w:numPr>
          <w:ilvl w:val="1"/>
          <w:numId w:val="272"/>
        </w:numPr>
        <w:spacing w:lineRule="auto" w:line="360" w:before="0" w:after="0"/>
        <w:jc w:val="both"/>
        <w:rPr>
          <w:rFonts w:ascii="Arial" w:hAnsi="Arial" w:cs="Arial"/>
          <w:sz w:val="20"/>
          <w:szCs w:val="20"/>
        </w:rPr>
      </w:pPr>
      <w:r>
        <w:rPr>
          <w:rFonts w:cs="Arial" w:ascii="Arial" w:hAnsi="Arial"/>
          <w:sz w:val="20"/>
          <w:szCs w:val="20"/>
        </w:rPr>
        <w:t>Wyrównywanie braków szkolnych (np. korepetycje)</w:t>
      </w:r>
    </w:p>
    <w:p>
      <w:pPr>
        <w:pStyle w:val="NormalWeb"/>
        <w:numPr>
          <w:ilvl w:val="1"/>
          <w:numId w:val="273"/>
        </w:numPr>
        <w:spacing w:lineRule="auto" w:line="360" w:before="0" w:after="0"/>
        <w:jc w:val="both"/>
        <w:rPr>
          <w:rFonts w:ascii="Arial" w:hAnsi="Arial" w:cs="Arial"/>
          <w:sz w:val="20"/>
          <w:szCs w:val="20"/>
        </w:rPr>
      </w:pPr>
      <w:r>
        <w:rPr>
          <w:rFonts w:cs="Arial" w:ascii="Arial" w:hAnsi="Arial"/>
          <w:sz w:val="20"/>
          <w:szCs w:val="20"/>
        </w:rPr>
        <w:t>Rozwój uzdolnień i zainteresowań</w:t>
      </w:r>
    </w:p>
    <w:p>
      <w:pPr>
        <w:pStyle w:val="NormalWeb"/>
        <w:numPr>
          <w:ilvl w:val="1"/>
          <w:numId w:val="274"/>
        </w:numPr>
        <w:spacing w:lineRule="auto" w:line="360" w:before="0" w:after="0"/>
        <w:jc w:val="both"/>
        <w:rPr>
          <w:rFonts w:ascii="Arial" w:hAnsi="Arial" w:cs="Arial"/>
          <w:sz w:val="20"/>
          <w:szCs w:val="20"/>
        </w:rPr>
      </w:pPr>
      <w:r>
        <w:rPr>
          <w:rFonts w:cs="Arial" w:ascii="Arial" w:hAnsi="Arial"/>
          <w:sz w:val="20"/>
          <w:szCs w:val="20"/>
        </w:rPr>
        <w:t>Naukę języków obcych</w:t>
      </w:r>
    </w:p>
    <w:p>
      <w:pPr>
        <w:pStyle w:val="NormalWeb"/>
        <w:numPr>
          <w:ilvl w:val="1"/>
          <w:numId w:val="275"/>
        </w:numPr>
        <w:spacing w:lineRule="auto" w:line="360" w:before="0" w:after="0"/>
        <w:jc w:val="both"/>
        <w:rPr>
          <w:rFonts w:ascii="Arial" w:hAnsi="Arial" w:cs="Arial"/>
          <w:sz w:val="20"/>
          <w:szCs w:val="20"/>
        </w:rPr>
      </w:pPr>
      <w:r>
        <w:rPr>
          <w:rFonts w:cs="Arial" w:ascii="Arial" w:hAnsi="Arial"/>
          <w:sz w:val="20"/>
          <w:szCs w:val="20"/>
        </w:rPr>
        <w:t>Zajęcia socjalizacyjne dla dzieci i młodzieży z problemami rozwojowymi</w:t>
      </w:r>
    </w:p>
    <w:p>
      <w:pPr>
        <w:pStyle w:val="NormalWeb"/>
        <w:numPr>
          <w:ilvl w:val="1"/>
          <w:numId w:val="276"/>
        </w:numPr>
        <w:spacing w:lineRule="auto" w:line="360" w:before="0" w:after="0"/>
        <w:jc w:val="both"/>
        <w:rPr>
          <w:rFonts w:ascii="Arial" w:hAnsi="Arial" w:cs="Arial"/>
          <w:sz w:val="20"/>
          <w:szCs w:val="20"/>
        </w:rPr>
      </w:pPr>
      <w:r>
        <w:rPr>
          <w:rFonts w:cs="Arial" w:ascii="Arial" w:hAnsi="Arial"/>
          <w:sz w:val="20"/>
          <w:szCs w:val="20"/>
        </w:rPr>
        <w:t>Zajęcia resocjalizacyjne dla dzieci i młodzieży z problemami w zakresie integracji rówieśniczej i problemami adaptacyjnymi</w:t>
      </w:r>
    </w:p>
    <w:p>
      <w:pPr>
        <w:pStyle w:val="NormalWeb"/>
        <w:numPr>
          <w:ilvl w:val="0"/>
          <w:numId w:val="277"/>
        </w:numPr>
        <w:spacing w:lineRule="auto" w:line="360" w:before="0" w:after="0"/>
        <w:jc w:val="both"/>
        <w:rPr>
          <w:rFonts w:ascii="Arial" w:hAnsi="Arial" w:cs="Arial"/>
          <w:sz w:val="20"/>
          <w:szCs w:val="20"/>
        </w:rPr>
      </w:pPr>
      <w:r>
        <w:rPr>
          <w:rFonts w:cs="Arial" w:ascii="Arial" w:hAnsi="Arial"/>
          <w:sz w:val="20"/>
          <w:szCs w:val="20"/>
        </w:rPr>
        <w:t>Jaki Pani/Pana zdaniem zakres usług społecznych powinien wypełniać obszar opieki nad dziećmi do lat trzech oraz dziećmi w wieku przedszkolnym? -  proszę wybrać maksymalnie 3 odpowiedzi.</w:t>
      </w:r>
    </w:p>
    <w:p>
      <w:pPr>
        <w:pStyle w:val="NormalWeb"/>
        <w:numPr>
          <w:ilvl w:val="1"/>
          <w:numId w:val="278"/>
        </w:numPr>
        <w:spacing w:lineRule="auto" w:line="360" w:before="0" w:after="0"/>
        <w:jc w:val="both"/>
        <w:rPr>
          <w:rFonts w:ascii="Arial" w:hAnsi="Arial" w:cs="Arial"/>
          <w:sz w:val="20"/>
          <w:szCs w:val="20"/>
        </w:rPr>
      </w:pPr>
      <w:r>
        <w:rPr>
          <w:rFonts w:cs="Arial" w:ascii="Arial" w:hAnsi="Arial"/>
          <w:sz w:val="20"/>
          <w:szCs w:val="20"/>
        </w:rPr>
        <w:t>Pomoc (usługa) niani</w:t>
      </w:r>
    </w:p>
    <w:p>
      <w:pPr>
        <w:pStyle w:val="NormalWeb"/>
        <w:numPr>
          <w:ilvl w:val="1"/>
          <w:numId w:val="279"/>
        </w:numPr>
        <w:spacing w:lineRule="auto" w:line="360" w:before="0" w:after="0"/>
        <w:jc w:val="both"/>
        <w:rPr>
          <w:rFonts w:ascii="Arial" w:hAnsi="Arial" w:cs="Arial"/>
          <w:sz w:val="20"/>
          <w:szCs w:val="20"/>
        </w:rPr>
      </w:pPr>
      <w:r>
        <w:rPr>
          <w:rFonts w:cs="Arial" w:ascii="Arial" w:hAnsi="Arial"/>
          <w:sz w:val="20"/>
          <w:szCs w:val="20"/>
        </w:rPr>
        <w:t>Usługa opiekuna dziecka</w:t>
      </w:r>
    </w:p>
    <w:p>
      <w:pPr>
        <w:pStyle w:val="NormalWeb"/>
        <w:numPr>
          <w:ilvl w:val="1"/>
          <w:numId w:val="280"/>
        </w:numPr>
        <w:spacing w:lineRule="auto" w:line="360" w:before="0" w:after="0"/>
        <w:jc w:val="both"/>
        <w:rPr>
          <w:rFonts w:ascii="Arial" w:hAnsi="Arial" w:cs="Arial"/>
          <w:sz w:val="20"/>
          <w:szCs w:val="20"/>
        </w:rPr>
      </w:pPr>
      <w:r>
        <w:rPr>
          <w:rFonts w:cs="Arial" w:ascii="Arial" w:hAnsi="Arial"/>
          <w:sz w:val="20"/>
          <w:szCs w:val="20"/>
        </w:rPr>
        <w:t>Usługa opieki nad dzieckiem świadczona na godziny (tylko wówczas, gdy rodzic potrzebuje czasu na załatwienie ważnych spraw)</w:t>
      </w:r>
    </w:p>
    <w:p>
      <w:pPr>
        <w:pStyle w:val="NormalWeb"/>
        <w:numPr>
          <w:ilvl w:val="1"/>
          <w:numId w:val="281"/>
        </w:numPr>
        <w:spacing w:lineRule="auto" w:line="360" w:before="0" w:after="0"/>
        <w:jc w:val="both"/>
        <w:rPr>
          <w:rFonts w:ascii="Arial" w:hAnsi="Arial" w:cs="Arial"/>
          <w:sz w:val="20"/>
          <w:szCs w:val="20"/>
        </w:rPr>
      </w:pPr>
      <w:r>
        <w:rPr>
          <w:rFonts w:cs="Arial" w:ascii="Arial" w:hAnsi="Arial"/>
          <w:sz w:val="20"/>
          <w:szCs w:val="20"/>
        </w:rPr>
        <w:t>Odprowadzanie dziecka do żłóbka, przedszkola, opiekuna.</w:t>
      </w:r>
    </w:p>
    <w:p>
      <w:pPr>
        <w:pStyle w:val="NormalWeb"/>
        <w:numPr>
          <w:ilvl w:val="1"/>
          <w:numId w:val="282"/>
        </w:numPr>
        <w:spacing w:lineRule="auto" w:line="360" w:before="0" w:after="0"/>
        <w:jc w:val="both"/>
        <w:rPr>
          <w:rFonts w:ascii="Arial" w:hAnsi="Arial" w:cs="Arial"/>
          <w:sz w:val="20"/>
          <w:szCs w:val="20"/>
        </w:rPr>
      </w:pPr>
      <w:r>
        <w:rPr>
          <w:rFonts w:cs="Arial" w:ascii="Arial" w:hAnsi="Arial"/>
          <w:sz w:val="20"/>
          <w:szCs w:val="20"/>
        </w:rPr>
        <w:t xml:space="preserve">Inne – jakie…………………………………………………………………………………… </w:t>
      </w:r>
    </w:p>
    <w:p>
      <w:pPr>
        <w:pStyle w:val="NormalWeb"/>
        <w:numPr>
          <w:ilvl w:val="0"/>
          <w:numId w:val="283"/>
        </w:numPr>
        <w:spacing w:lineRule="auto" w:line="360" w:before="0" w:after="0"/>
        <w:jc w:val="both"/>
        <w:rPr>
          <w:rFonts w:ascii="Arial" w:hAnsi="Arial" w:cs="Arial"/>
          <w:sz w:val="20"/>
          <w:szCs w:val="20"/>
        </w:rPr>
      </w:pPr>
      <w:r>
        <w:rPr>
          <w:rFonts w:cs="Arial" w:ascii="Arial" w:hAnsi="Arial"/>
          <w:sz w:val="20"/>
          <w:szCs w:val="20"/>
        </w:rPr>
        <w:t xml:space="preserve">Jaki Pani/Pana zdaniem zakres usług społecznych powinien wypełniać obszar kultury, turystyki, sportu i rekreacji? </w:t>
      </w:r>
      <w:bookmarkStart w:id="42" w:name="_Hlk208164665"/>
      <w:r>
        <w:rPr>
          <w:rFonts w:cs="Arial" w:ascii="Arial" w:hAnsi="Arial"/>
          <w:sz w:val="20"/>
          <w:szCs w:val="20"/>
        </w:rPr>
        <w:t>-  proszę wybrać maksymalnie 3 odpowiedzi</w:t>
      </w:r>
      <w:bookmarkEnd w:id="42"/>
      <w:r>
        <w:rPr>
          <w:rFonts w:cs="Arial" w:ascii="Arial" w:hAnsi="Arial"/>
          <w:sz w:val="20"/>
          <w:szCs w:val="20"/>
        </w:rPr>
        <w:t>.</w:t>
      </w:r>
    </w:p>
    <w:p>
      <w:pPr>
        <w:pStyle w:val="NormalWeb"/>
        <w:numPr>
          <w:ilvl w:val="1"/>
          <w:numId w:val="284"/>
        </w:numPr>
        <w:spacing w:lineRule="auto" w:line="360" w:before="0" w:after="0"/>
        <w:jc w:val="both"/>
        <w:rPr>
          <w:rFonts w:ascii="Arial" w:hAnsi="Arial" w:cs="Arial"/>
          <w:sz w:val="20"/>
          <w:szCs w:val="20"/>
        </w:rPr>
      </w:pPr>
      <w:r>
        <w:rPr>
          <w:rFonts w:cs="Arial" w:ascii="Arial" w:hAnsi="Arial"/>
          <w:sz w:val="20"/>
          <w:szCs w:val="20"/>
        </w:rPr>
        <w:t xml:space="preserve">Grupowe wyjazdy rekreacyjne mieszkańców (poza obszar miejsca zamieszkania) dla różnych grup </w:t>
      </w:r>
    </w:p>
    <w:p>
      <w:pPr>
        <w:pStyle w:val="NormalWeb"/>
        <w:numPr>
          <w:ilvl w:val="1"/>
          <w:numId w:val="285"/>
        </w:numPr>
        <w:spacing w:lineRule="auto" w:line="360" w:before="0" w:after="0"/>
        <w:jc w:val="both"/>
        <w:rPr>
          <w:rFonts w:ascii="Arial" w:hAnsi="Arial" w:cs="Arial"/>
          <w:sz w:val="20"/>
          <w:szCs w:val="20"/>
        </w:rPr>
      </w:pPr>
      <w:r>
        <w:rPr>
          <w:rFonts w:cs="Arial" w:ascii="Arial" w:hAnsi="Arial"/>
          <w:sz w:val="20"/>
          <w:szCs w:val="20"/>
        </w:rPr>
        <w:t>Cykliczne imprezy kulturalne o zróżnicowanej tematyce z udziałem i zaangażowaniem mieszkańców (kluby filmowe z dyskusją tematyczną mieszkańców, spektakle teatralne w wykonaniu mieszkańców, młodzieży, seniorów, rodzin)</w:t>
      </w:r>
    </w:p>
    <w:p>
      <w:pPr>
        <w:pStyle w:val="NormalWeb"/>
        <w:numPr>
          <w:ilvl w:val="1"/>
          <w:numId w:val="286"/>
        </w:numPr>
        <w:spacing w:lineRule="auto" w:line="360" w:before="0" w:after="0"/>
        <w:jc w:val="both"/>
        <w:rPr>
          <w:rFonts w:ascii="Arial" w:hAnsi="Arial" w:cs="Arial"/>
          <w:sz w:val="20"/>
          <w:szCs w:val="20"/>
        </w:rPr>
      </w:pPr>
      <w:r>
        <w:rPr>
          <w:rFonts w:cs="Arial" w:ascii="Arial" w:hAnsi="Arial"/>
          <w:sz w:val="20"/>
          <w:szCs w:val="20"/>
        </w:rPr>
        <w:t>Koncerty i przedstawienia (np. rodzinne muzykowanie, koncerty lokalnych zespołów muzycznych i śpiewaczych, kapel ludowych itp.,)</w:t>
      </w:r>
    </w:p>
    <w:p>
      <w:pPr>
        <w:pStyle w:val="NormalWeb"/>
        <w:numPr>
          <w:ilvl w:val="1"/>
          <w:numId w:val="287"/>
        </w:numPr>
        <w:spacing w:lineRule="auto" w:line="360" w:before="0" w:after="0"/>
        <w:jc w:val="both"/>
        <w:rPr>
          <w:rFonts w:ascii="Arial" w:hAnsi="Arial" w:cs="Arial"/>
          <w:sz w:val="20"/>
          <w:szCs w:val="20"/>
        </w:rPr>
      </w:pPr>
      <w:r>
        <w:rPr>
          <w:rFonts w:cs="Arial" w:ascii="Arial" w:hAnsi="Arial"/>
          <w:sz w:val="20"/>
          <w:szCs w:val="20"/>
        </w:rPr>
        <w:t>Zajęcia rekreacyjno-usprawniające (np. siłownie na świeżym powietrzu, place zabaw, gry terenowe)</w:t>
      </w:r>
    </w:p>
    <w:p>
      <w:pPr>
        <w:pStyle w:val="NormalWeb"/>
        <w:numPr>
          <w:ilvl w:val="1"/>
          <w:numId w:val="288"/>
        </w:numPr>
        <w:spacing w:lineRule="auto" w:line="360" w:before="0" w:after="0"/>
        <w:jc w:val="both"/>
        <w:rPr>
          <w:rFonts w:ascii="Arial" w:hAnsi="Arial" w:cs="Arial"/>
          <w:sz w:val="20"/>
          <w:szCs w:val="20"/>
        </w:rPr>
      </w:pPr>
      <w:r>
        <w:rPr>
          <w:rFonts w:cs="Arial" w:ascii="Arial" w:hAnsi="Arial"/>
          <w:sz w:val="20"/>
          <w:szCs w:val="20"/>
        </w:rPr>
        <w:t>Zróżnicowane zajęcia sportowe dla różnych grup mieszkańców (nowe i ciekawe dyscypliny sportowe)</w:t>
      </w:r>
    </w:p>
    <w:p>
      <w:pPr>
        <w:pStyle w:val="NormalWeb"/>
        <w:numPr>
          <w:ilvl w:val="1"/>
          <w:numId w:val="289"/>
        </w:numPr>
        <w:spacing w:lineRule="auto" w:line="360" w:before="0" w:after="0"/>
        <w:jc w:val="both"/>
        <w:rPr>
          <w:rFonts w:ascii="Arial" w:hAnsi="Arial" w:cs="Arial"/>
          <w:sz w:val="20"/>
          <w:szCs w:val="20"/>
        </w:rPr>
      </w:pPr>
      <w:r>
        <w:rPr>
          <w:rFonts w:cs="Arial" w:ascii="Arial" w:hAnsi="Arial"/>
          <w:sz w:val="20"/>
          <w:szCs w:val="20"/>
        </w:rPr>
        <w:t>Inne – jakie………………………………………………………………………………….</w:t>
      </w:r>
    </w:p>
    <w:p>
      <w:pPr>
        <w:pStyle w:val="NormalWeb"/>
        <w:numPr>
          <w:ilvl w:val="0"/>
          <w:numId w:val="290"/>
        </w:numPr>
        <w:spacing w:lineRule="auto" w:line="360" w:before="0" w:after="0"/>
        <w:jc w:val="both"/>
        <w:rPr>
          <w:rFonts w:ascii="Arial" w:hAnsi="Arial" w:cs="Arial"/>
          <w:sz w:val="20"/>
          <w:szCs w:val="20"/>
        </w:rPr>
      </w:pPr>
      <w:r>
        <w:rPr>
          <w:rFonts w:cs="Arial" w:ascii="Arial" w:hAnsi="Arial"/>
          <w:sz w:val="20"/>
          <w:szCs w:val="20"/>
        </w:rPr>
        <w:t>Jaki Pani/Pana zdaniem zakres usług społecznych powinien wypełniać obszar wspierania rodziny? -  proszę wybrać maksymalnie 3 odpowiedzi.</w:t>
      </w:r>
    </w:p>
    <w:p>
      <w:pPr>
        <w:pStyle w:val="NormalWeb"/>
        <w:numPr>
          <w:ilvl w:val="1"/>
          <w:numId w:val="291"/>
        </w:numPr>
        <w:spacing w:lineRule="auto" w:line="360" w:before="0" w:after="0"/>
        <w:jc w:val="both"/>
        <w:rPr>
          <w:rFonts w:ascii="Arial" w:hAnsi="Arial" w:cs="Arial"/>
          <w:sz w:val="20"/>
          <w:szCs w:val="20"/>
        </w:rPr>
      </w:pPr>
      <w:r>
        <w:rPr>
          <w:rFonts w:cs="Arial" w:ascii="Arial" w:hAnsi="Arial"/>
          <w:sz w:val="20"/>
          <w:szCs w:val="20"/>
        </w:rPr>
        <w:t>Asystenturę dla rodzin z problemami wychowawczymi</w:t>
      </w:r>
    </w:p>
    <w:p>
      <w:pPr>
        <w:pStyle w:val="NormalWeb"/>
        <w:numPr>
          <w:ilvl w:val="1"/>
          <w:numId w:val="292"/>
        </w:numPr>
        <w:spacing w:lineRule="auto" w:line="360" w:before="0" w:after="0"/>
        <w:jc w:val="both"/>
        <w:rPr>
          <w:rFonts w:ascii="Arial" w:hAnsi="Arial" w:cs="Arial"/>
          <w:sz w:val="20"/>
          <w:szCs w:val="20"/>
        </w:rPr>
      </w:pPr>
      <w:r>
        <w:rPr>
          <w:rFonts w:cs="Arial" w:ascii="Arial" w:hAnsi="Arial"/>
          <w:sz w:val="20"/>
          <w:szCs w:val="20"/>
        </w:rPr>
        <w:t>Wspieranie rodzin w przygotowaniu do wychowania dzieci (szkoła rodzenia, szkoła dla rodziców, „klub Mam”, „klub Ojców”, usługa edukacyjno-wspierająca w zakresie nabywania i/lub</w:t>
      </w:r>
      <w:r>
        <w:rPr/>
        <w:t xml:space="preserve"> </w:t>
      </w:r>
      <w:r>
        <w:rPr>
          <w:rFonts w:cs="Arial" w:ascii="Arial" w:hAnsi="Arial"/>
          <w:sz w:val="20"/>
          <w:szCs w:val="20"/>
        </w:rPr>
        <w:t>rozwijania umiejętności opiekuńczo-wychowawczych)</w:t>
      </w:r>
    </w:p>
    <w:p>
      <w:pPr>
        <w:pStyle w:val="NormalWeb"/>
        <w:numPr>
          <w:ilvl w:val="1"/>
          <w:numId w:val="293"/>
        </w:numPr>
        <w:spacing w:lineRule="auto" w:line="360" w:before="0" w:after="0"/>
        <w:jc w:val="both"/>
        <w:rPr>
          <w:rFonts w:ascii="Arial" w:hAnsi="Arial" w:cs="Arial"/>
          <w:sz w:val="20"/>
          <w:szCs w:val="20"/>
        </w:rPr>
      </w:pPr>
      <w:r>
        <w:rPr>
          <w:rFonts w:cs="Arial" w:ascii="Arial" w:hAnsi="Arial"/>
          <w:sz w:val="20"/>
          <w:szCs w:val="20"/>
        </w:rPr>
        <w:t>Grupy wsparcia i grupy samopomocowe dla rodzin z różnorodnymi problemami</w:t>
      </w:r>
    </w:p>
    <w:p>
      <w:pPr>
        <w:pStyle w:val="NormalWeb"/>
        <w:numPr>
          <w:ilvl w:val="1"/>
          <w:numId w:val="294"/>
        </w:numPr>
        <w:spacing w:lineRule="auto" w:line="360" w:before="0" w:after="0"/>
        <w:jc w:val="both"/>
        <w:rPr>
          <w:rFonts w:ascii="Arial" w:hAnsi="Arial" w:cs="Arial"/>
          <w:sz w:val="20"/>
          <w:szCs w:val="20"/>
        </w:rPr>
      </w:pPr>
      <w:r>
        <w:rPr>
          <w:rFonts w:cs="Arial" w:ascii="Arial" w:hAnsi="Arial"/>
          <w:sz w:val="20"/>
          <w:szCs w:val="20"/>
        </w:rPr>
        <w:t>Poradnictwo specjalistyczne (psychologiczne, pedagogiczne, prawne i socjalne)</w:t>
      </w:r>
    </w:p>
    <w:p>
      <w:pPr>
        <w:pStyle w:val="NormalWeb"/>
        <w:numPr>
          <w:ilvl w:val="1"/>
          <w:numId w:val="295"/>
        </w:numPr>
        <w:spacing w:lineRule="auto" w:line="360" w:before="0" w:after="0"/>
        <w:jc w:val="both"/>
        <w:rPr>
          <w:rFonts w:ascii="Arial" w:hAnsi="Arial" w:cs="Arial"/>
          <w:sz w:val="20"/>
          <w:szCs w:val="20"/>
        </w:rPr>
      </w:pPr>
      <w:r>
        <w:rPr>
          <w:rFonts w:cs="Arial" w:ascii="Arial" w:hAnsi="Arial"/>
          <w:sz w:val="20"/>
          <w:szCs w:val="20"/>
        </w:rPr>
        <w:t xml:space="preserve">Usługę rodziny wspierającej (rodziny, która może podejmować działania na rzecz wzmocnienia funkcjonowania społecznego dziecka we współpracy z jego rodzicem biologicznym) </w:t>
      </w:r>
    </w:p>
    <w:p>
      <w:pPr>
        <w:pStyle w:val="NormalWeb"/>
        <w:numPr>
          <w:ilvl w:val="1"/>
          <w:numId w:val="296"/>
        </w:numPr>
        <w:spacing w:lineRule="auto" w:line="360" w:before="0" w:after="0"/>
        <w:jc w:val="both"/>
        <w:rPr>
          <w:rFonts w:ascii="Arial" w:hAnsi="Arial" w:cs="Arial"/>
          <w:sz w:val="20"/>
          <w:szCs w:val="20"/>
        </w:rPr>
      </w:pPr>
      <w:r>
        <w:rPr>
          <w:rFonts w:cs="Arial" w:ascii="Arial" w:hAnsi="Arial"/>
          <w:sz w:val="20"/>
          <w:szCs w:val="20"/>
        </w:rPr>
        <w:t>Placówkę wsparcia dziennego dla dzieci (w celu wsparcia rodziny dziecko może zostać objęte opieką i wychowaniem w placówce wsparcia dziennego)</w:t>
      </w:r>
    </w:p>
    <w:p>
      <w:pPr>
        <w:pStyle w:val="NormalWeb"/>
        <w:numPr>
          <w:ilvl w:val="1"/>
          <w:numId w:val="297"/>
        </w:numPr>
        <w:spacing w:lineRule="auto" w:line="360" w:before="0" w:after="0"/>
        <w:jc w:val="both"/>
        <w:rPr>
          <w:rFonts w:ascii="Arial" w:hAnsi="Arial" w:cs="Arial"/>
          <w:sz w:val="20"/>
          <w:szCs w:val="20"/>
        </w:rPr>
      </w:pPr>
      <w:r>
        <w:rPr>
          <w:rFonts w:cs="Arial" w:ascii="Arial" w:hAnsi="Arial"/>
          <w:sz w:val="20"/>
          <w:szCs w:val="20"/>
        </w:rPr>
        <w:t>Inne – jakie…………………………………………………………………………….</w:t>
      </w:r>
    </w:p>
    <w:p>
      <w:pPr>
        <w:pStyle w:val="NormalWeb"/>
        <w:numPr>
          <w:ilvl w:val="0"/>
          <w:numId w:val="298"/>
        </w:numPr>
        <w:spacing w:lineRule="auto" w:line="360" w:before="0" w:after="0"/>
        <w:jc w:val="both"/>
        <w:rPr>
          <w:rFonts w:ascii="Arial" w:hAnsi="Arial" w:cs="Arial"/>
          <w:sz w:val="20"/>
          <w:szCs w:val="20"/>
        </w:rPr>
      </w:pPr>
      <w:r>
        <w:rPr>
          <w:rFonts w:cs="Arial" w:ascii="Arial" w:hAnsi="Arial"/>
          <w:sz w:val="20"/>
          <w:szCs w:val="20"/>
        </w:rPr>
        <w:t>Jaki Pani/Pana zdaniem zakres usług społecznych powinien wypełniać obszar wspierania osób niepełnosprawnych i ich rodzin? -  proszę wybrać maksymalnie 3 odpowiedzi</w:t>
      </w:r>
    </w:p>
    <w:p>
      <w:pPr>
        <w:pStyle w:val="NormalWeb"/>
        <w:numPr>
          <w:ilvl w:val="1"/>
          <w:numId w:val="299"/>
        </w:numPr>
        <w:spacing w:lineRule="auto" w:line="360" w:before="0" w:after="0"/>
        <w:jc w:val="both"/>
        <w:rPr>
          <w:rFonts w:ascii="Arial" w:hAnsi="Arial" w:cs="Arial"/>
          <w:sz w:val="20"/>
          <w:szCs w:val="20"/>
        </w:rPr>
      </w:pPr>
      <w:r>
        <w:rPr>
          <w:rFonts w:cs="Arial" w:ascii="Arial" w:hAnsi="Arial"/>
          <w:sz w:val="20"/>
          <w:szCs w:val="20"/>
        </w:rPr>
        <w:t>Wspieranie procesu adaptacji osoby do niepełnosprawności nabytej (w wyniku choroby, urazów, wypadku itp.)</w:t>
      </w:r>
    </w:p>
    <w:p>
      <w:pPr>
        <w:pStyle w:val="NormalWeb"/>
        <w:numPr>
          <w:ilvl w:val="1"/>
          <w:numId w:val="300"/>
        </w:numPr>
        <w:spacing w:lineRule="auto" w:line="360" w:before="0" w:after="0"/>
        <w:jc w:val="both"/>
        <w:rPr>
          <w:rFonts w:ascii="Arial" w:hAnsi="Arial" w:cs="Arial"/>
          <w:sz w:val="20"/>
          <w:szCs w:val="20"/>
        </w:rPr>
      </w:pPr>
      <w:r>
        <w:rPr>
          <w:rFonts w:cs="Arial" w:ascii="Arial" w:hAnsi="Arial"/>
          <w:sz w:val="20"/>
          <w:szCs w:val="20"/>
        </w:rPr>
        <w:t>Asystenturę osób niepełnosprawnych</w:t>
      </w:r>
    </w:p>
    <w:p>
      <w:pPr>
        <w:pStyle w:val="NormalWeb"/>
        <w:numPr>
          <w:ilvl w:val="1"/>
          <w:numId w:val="301"/>
        </w:numPr>
        <w:spacing w:lineRule="auto" w:line="360" w:before="0" w:after="0"/>
        <w:jc w:val="both"/>
        <w:rPr>
          <w:rFonts w:ascii="Arial" w:hAnsi="Arial" w:cs="Arial"/>
          <w:sz w:val="20"/>
          <w:szCs w:val="20"/>
        </w:rPr>
      </w:pPr>
      <w:r>
        <w:rPr>
          <w:rFonts w:cs="Arial" w:ascii="Arial" w:hAnsi="Arial"/>
          <w:sz w:val="20"/>
          <w:szCs w:val="20"/>
        </w:rPr>
        <w:t>Poradnictwo specjalistyczne dla osób niepełnosprawnych i ich rodzin</w:t>
      </w:r>
    </w:p>
    <w:p>
      <w:pPr>
        <w:pStyle w:val="NormalWeb"/>
        <w:numPr>
          <w:ilvl w:val="1"/>
          <w:numId w:val="302"/>
        </w:numPr>
        <w:spacing w:lineRule="auto" w:line="360" w:before="0" w:after="0"/>
        <w:jc w:val="both"/>
        <w:rPr>
          <w:rFonts w:ascii="Arial" w:hAnsi="Arial" w:cs="Arial"/>
          <w:sz w:val="20"/>
          <w:szCs w:val="20"/>
        </w:rPr>
      </w:pPr>
      <w:r>
        <w:rPr>
          <w:rFonts w:cs="Arial" w:ascii="Arial" w:hAnsi="Arial"/>
          <w:sz w:val="20"/>
          <w:szCs w:val="20"/>
        </w:rPr>
        <w:t>Usługi w zakresie likwidacji barier związanych z niepełnosprawnością (barier mentalnych, komunikacyjnych itp.)</w:t>
      </w:r>
    </w:p>
    <w:p>
      <w:pPr>
        <w:pStyle w:val="NormalWeb"/>
        <w:numPr>
          <w:ilvl w:val="1"/>
          <w:numId w:val="303"/>
        </w:numPr>
        <w:spacing w:lineRule="auto" w:line="360" w:before="0" w:after="0"/>
        <w:jc w:val="both"/>
        <w:rPr>
          <w:rFonts w:ascii="Arial" w:hAnsi="Arial" w:cs="Arial"/>
          <w:sz w:val="20"/>
          <w:szCs w:val="20"/>
        </w:rPr>
      </w:pPr>
      <w:r>
        <w:rPr>
          <w:rFonts w:cs="Arial" w:ascii="Arial" w:hAnsi="Arial"/>
          <w:sz w:val="20"/>
          <w:szCs w:val="20"/>
        </w:rPr>
        <w:t>Rehabilitację społeczną (trening umiejętności społecznych, rozwój i przystosowanie do życia w warunkach niepełnosprawności)</w:t>
      </w:r>
    </w:p>
    <w:p>
      <w:pPr>
        <w:pStyle w:val="NormalWeb"/>
        <w:numPr>
          <w:ilvl w:val="1"/>
          <w:numId w:val="304"/>
        </w:numPr>
        <w:spacing w:lineRule="auto" w:line="360" w:before="0" w:after="0"/>
        <w:jc w:val="both"/>
        <w:rPr>
          <w:rFonts w:ascii="Arial" w:hAnsi="Arial" w:cs="Arial"/>
          <w:sz w:val="20"/>
          <w:szCs w:val="20"/>
        </w:rPr>
      </w:pPr>
      <w:r>
        <w:rPr>
          <w:rFonts w:cs="Arial" w:ascii="Arial" w:hAnsi="Arial"/>
          <w:sz w:val="20"/>
          <w:szCs w:val="20"/>
        </w:rPr>
        <w:t>Pomoc wytchnieniową dla opiekunów osób niepełnosprawnych</w:t>
      </w:r>
    </w:p>
    <w:p>
      <w:pPr>
        <w:pStyle w:val="NormalWeb"/>
        <w:numPr>
          <w:ilvl w:val="1"/>
          <w:numId w:val="305"/>
        </w:numPr>
        <w:spacing w:lineRule="auto" w:line="360" w:before="0" w:after="0"/>
        <w:jc w:val="both"/>
        <w:rPr>
          <w:rFonts w:ascii="Arial" w:hAnsi="Arial" w:cs="Arial"/>
          <w:sz w:val="20"/>
          <w:szCs w:val="20"/>
        </w:rPr>
      </w:pPr>
      <w:r>
        <w:rPr>
          <w:rFonts w:cs="Arial" w:ascii="Arial" w:hAnsi="Arial"/>
          <w:sz w:val="20"/>
          <w:szCs w:val="20"/>
        </w:rPr>
        <w:t>Inne- jakie……………………………………………………………………………………..</w:t>
      </w:r>
    </w:p>
    <w:p>
      <w:pPr>
        <w:pStyle w:val="NormalWeb"/>
        <w:numPr>
          <w:ilvl w:val="0"/>
          <w:numId w:val="306"/>
        </w:numPr>
        <w:spacing w:lineRule="auto" w:line="360" w:before="0" w:after="0"/>
        <w:jc w:val="both"/>
        <w:rPr>
          <w:rFonts w:ascii="Arial" w:hAnsi="Arial" w:cs="Arial"/>
          <w:sz w:val="20"/>
          <w:szCs w:val="20"/>
        </w:rPr>
      </w:pPr>
      <w:r>
        <w:rPr>
          <w:rFonts w:cs="Arial" w:ascii="Arial" w:hAnsi="Arial"/>
          <w:sz w:val="20"/>
          <w:szCs w:val="20"/>
        </w:rPr>
        <w:t>Jaki Pani/Pana zdaniem zakres usług społecznych powinien wypełniać obszar wspierania osób w wieku senioralnym i ich rodzin? -  proszę wybrać maksymalnie 3 odpowiedzi</w:t>
      </w:r>
    </w:p>
    <w:p>
      <w:pPr>
        <w:pStyle w:val="NormalWeb"/>
        <w:numPr>
          <w:ilvl w:val="1"/>
          <w:numId w:val="307"/>
        </w:numPr>
        <w:spacing w:lineRule="auto" w:line="360" w:before="0" w:after="0"/>
        <w:jc w:val="both"/>
        <w:rPr>
          <w:rFonts w:ascii="Arial" w:hAnsi="Arial" w:cs="Arial"/>
          <w:sz w:val="20"/>
          <w:szCs w:val="20"/>
        </w:rPr>
      </w:pPr>
      <w:r>
        <w:rPr>
          <w:rFonts w:cs="Arial" w:ascii="Arial" w:hAnsi="Arial"/>
          <w:sz w:val="20"/>
          <w:szCs w:val="20"/>
        </w:rPr>
        <w:t>Usługi w zakresie opieki nad chorym w domu (pielęgnację, higienę, podawanie leków, posiłków, pomoc w wykonywaniu prostych czynności związanych z codziennym funkcjonowaniem)</w:t>
      </w:r>
    </w:p>
    <w:p>
      <w:pPr>
        <w:pStyle w:val="NormalWeb"/>
        <w:numPr>
          <w:ilvl w:val="1"/>
          <w:numId w:val="308"/>
        </w:numPr>
        <w:spacing w:lineRule="auto" w:line="360" w:before="0" w:after="0"/>
        <w:jc w:val="both"/>
        <w:rPr>
          <w:rFonts w:ascii="Arial" w:hAnsi="Arial" w:cs="Arial"/>
          <w:sz w:val="20"/>
          <w:szCs w:val="20"/>
        </w:rPr>
      </w:pPr>
      <w:r>
        <w:rPr>
          <w:rFonts w:cs="Arial" w:ascii="Arial" w:hAnsi="Arial"/>
          <w:sz w:val="20"/>
          <w:szCs w:val="20"/>
        </w:rPr>
        <w:t>Usługi gospodarcze - sprzątanie, pranie, robienie zakupów,</w:t>
      </w:r>
    </w:p>
    <w:p>
      <w:pPr>
        <w:pStyle w:val="NormalWeb"/>
        <w:numPr>
          <w:ilvl w:val="1"/>
          <w:numId w:val="309"/>
        </w:numPr>
        <w:spacing w:lineRule="auto" w:line="360" w:before="0" w:after="0"/>
        <w:jc w:val="both"/>
        <w:rPr>
          <w:rFonts w:ascii="Arial" w:hAnsi="Arial" w:cs="Arial"/>
          <w:sz w:val="20"/>
          <w:szCs w:val="20"/>
        </w:rPr>
      </w:pPr>
      <w:r>
        <w:rPr>
          <w:rFonts w:cs="Arial" w:ascii="Arial" w:hAnsi="Arial"/>
          <w:sz w:val="20"/>
          <w:szCs w:val="20"/>
        </w:rPr>
        <w:t>Usługi remontowe (drobne naprawy w obrębie lokalu mieszkalnego)</w:t>
      </w:r>
    </w:p>
    <w:p>
      <w:pPr>
        <w:pStyle w:val="NormalWeb"/>
        <w:numPr>
          <w:ilvl w:val="1"/>
          <w:numId w:val="310"/>
        </w:numPr>
        <w:spacing w:lineRule="auto" w:line="360" w:before="0" w:after="0"/>
        <w:jc w:val="both"/>
        <w:rPr>
          <w:rFonts w:ascii="Arial" w:hAnsi="Arial" w:cs="Arial"/>
          <w:sz w:val="20"/>
          <w:szCs w:val="20"/>
        </w:rPr>
      </w:pPr>
      <w:r>
        <w:rPr>
          <w:rFonts w:cs="Arial" w:ascii="Arial" w:hAnsi="Arial"/>
          <w:sz w:val="20"/>
          <w:szCs w:val="20"/>
        </w:rPr>
        <w:t>Wspomaganie sprawności ruchowej i intelektualnej</w:t>
      </w:r>
    </w:p>
    <w:p>
      <w:pPr>
        <w:pStyle w:val="NormalWeb"/>
        <w:numPr>
          <w:ilvl w:val="1"/>
          <w:numId w:val="311"/>
        </w:numPr>
        <w:spacing w:lineRule="auto" w:line="360" w:before="0" w:after="0"/>
        <w:jc w:val="both"/>
        <w:rPr>
          <w:rFonts w:ascii="Arial" w:hAnsi="Arial" w:cs="Arial"/>
          <w:sz w:val="20"/>
          <w:szCs w:val="20"/>
        </w:rPr>
      </w:pPr>
      <w:r>
        <w:rPr>
          <w:rFonts w:cs="Arial" w:ascii="Arial" w:hAnsi="Arial"/>
          <w:sz w:val="20"/>
          <w:szCs w:val="20"/>
        </w:rPr>
        <w:t>Mieszkalnictwo wspomagane</w:t>
      </w:r>
    </w:p>
    <w:p>
      <w:pPr>
        <w:pStyle w:val="NormalWeb"/>
        <w:numPr>
          <w:ilvl w:val="1"/>
          <w:numId w:val="312"/>
        </w:numPr>
        <w:spacing w:lineRule="auto" w:line="360" w:before="0" w:after="0"/>
        <w:jc w:val="both"/>
        <w:rPr>
          <w:rFonts w:ascii="Arial" w:hAnsi="Arial" w:cs="Arial"/>
          <w:sz w:val="20"/>
          <w:szCs w:val="20"/>
        </w:rPr>
      </w:pPr>
      <w:r>
        <w:rPr>
          <w:rFonts w:cs="Arial" w:ascii="Arial" w:hAnsi="Arial"/>
          <w:sz w:val="20"/>
          <w:szCs w:val="20"/>
        </w:rPr>
        <w:t>Lokalne domy pomocy społecznej (o charakterze dziennym lub całodobowym)</w:t>
      </w:r>
    </w:p>
    <w:p>
      <w:pPr>
        <w:pStyle w:val="NormalWeb"/>
        <w:numPr>
          <w:ilvl w:val="1"/>
          <w:numId w:val="313"/>
        </w:numPr>
        <w:spacing w:lineRule="auto" w:line="360" w:before="0" w:after="0"/>
        <w:jc w:val="both"/>
        <w:rPr>
          <w:rFonts w:ascii="Arial" w:hAnsi="Arial" w:cs="Arial"/>
          <w:sz w:val="20"/>
          <w:szCs w:val="20"/>
        </w:rPr>
      </w:pPr>
      <w:r>
        <w:rPr>
          <w:rFonts w:cs="Arial" w:ascii="Arial" w:hAnsi="Arial"/>
          <w:sz w:val="20"/>
          <w:szCs w:val="20"/>
        </w:rPr>
        <w:t>Edukacja seniorów (np. Uniwersytet Trzeciego Wieku)</w:t>
      </w:r>
    </w:p>
    <w:p>
      <w:pPr>
        <w:pStyle w:val="NormalWeb"/>
        <w:numPr>
          <w:ilvl w:val="1"/>
          <w:numId w:val="314"/>
        </w:numPr>
        <w:spacing w:lineRule="auto" w:line="360" w:before="0" w:after="0"/>
        <w:jc w:val="both"/>
        <w:rPr>
          <w:rFonts w:ascii="Arial" w:hAnsi="Arial" w:cs="Arial"/>
          <w:sz w:val="20"/>
          <w:szCs w:val="20"/>
        </w:rPr>
      </w:pPr>
      <w:r>
        <w:rPr>
          <w:rFonts w:cs="Arial" w:ascii="Arial" w:hAnsi="Arial"/>
          <w:sz w:val="20"/>
          <w:szCs w:val="20"/>
        </w:rPr>
        <w:t>Transport seniorów do miejsc załatwienia spraw urzędowych, usług medycznych itp.</w:t>
      </w:r>
    </w:p>
    <w:p>
      <w:pPr>
        <w:pStyle w:val="NormalWeb"/>
        <w:numPr>
          <w:ilvl w:val="1"/>
          <w:numId w:val="315"/>
        </w:numPr>
        <w:spacing w:lineRule="auto" w:line="360" w:before="0" w:after="0"/>
        <w:jc w:val="both"/>
        <w:rPr>
          <w:rFonts w:ascii="Arial" w:hAnsi="Arial" w:cs="Arial"/>
          <w:sz w:val="20"/>
          <w:szCs w:val="20"/>
        </w:rPr>
      </w:pPr>
      <w:r>
        <w:rPr>
          <w:rFonts w:cs="Arial" w:ascii="Arial" w:hAnsi="Arial"/>
          <w:sz w:val="20"/>
          <w:szCs w:val="20"/>
        </w:rPr>
        <w:t>Inne – jakie………………………………………………………………………………………</w:t>
      </w:r>
    </w:p>
    <w:p>
      <w:pPr>
        <w:pStyle w:val="NormalWeb"/>
        <w:numPr>
          <w:ilvl w:val="0"/>
          <w:numId w:val="316"/>
        </w:numPr>
        <w:spacing w:lineRule="auto" w:line="360" w:before="0" w:after="0"/>
        <w:jc w:val="both"/>
        <w:rPr>
          <w:rFonts w:ascii="Arial" w:hAnsi="Arial" w:cs="Arial"/>
          <w:sz w:val="20"/>
          <w:szCs w:val="20"/>
        </w:rPr>
      </w:pPr>
      <w:r>
        <w:rPr>
          <w:rFonts w:cs="Arial" w:ascii="Arial" w:hAnsi="Arial"/>
          <w:sz w:val="20"/>
          <w:szCs w:val="20"/>
        </w:rPr>
        <w:t xml:space="preserve">Jaki Pani/Pana zdaniem zakres usług społecznych powinien wypełniać obszar wspierania osób dotkniętych przemocą domową? -  proszę wybrać maksymalnie 3 odpowiedzi </w:t>
      </w:r>
    </w:p>
    <w:p>
      <w:pPr>
        <w:pStyle w:val="NormalWeb"/>
        <w:numPr>
          <w:ilvl w:val="1"/>
          <w:numId w:val="317"/>
        </w:numPr>
        <w:spacing w:lineRule="auto" w:line="360" w:before="0" w:after="0"/>
        <w:jc w:val="both"/>
        <w:rPr>
          <w:rFonts w:ascii="Arial" w:hAnsi="Arial" w:cs="Arial"/>
          <w:sz w:val="20"/>
          <w:szCs w:val="20"/>
        </w:rPr>
      </w:pPr>
      <w:r>
        <w:rPr>
          <w:rFonts w:cs="Arial" w:ascii="Arial" w:hAnsi="Arial"/>
          <w:sz w:val="20"/>
          <w:szCs w:val="20"/>
        </w:rPr>
        <w:t xml:space="preserve">Poradnictwo specjalistyczne dla osób doznających przemocy </w:t>
      </w:r>
    </w:p>
    <w:p>
      <w:pPr>
        <w:pStyle w:val="NormalWeb"/>
        <w:numPr>
          <w:ilvl w:val="1"/>
          <w:numId w:val="318"/>
        </w:numPr>
        <w:spacing w:lineRule="auto" w:line="360" w:before="0" w:after="0"/>
        <w:jc w:val="both"/>
        <w:rPr>
          <w:rFonts w:ascii="Arial" w:hAnsi="Arial" w:cs="Arial"/>
          <w:sz w:val="20"/>
          <w:szCs w:val="20"/>
        </w:rPr>
      </w:pPr>
      <w:r>
        <w:rPr>
          <w:rFonts w:cs="Arial" w:ascii="Arial" w:hAnsi="Arial"/>
          <w:sz w:val="20"/>
          <w:szCs w:val="20"/>
        </w:rPr>
        <w:t>Interwencja kryzysowa w sytuacjach wynikających z doznawanej przemocy</w:t>
      </w:r>
    </w:p>
    <w:p>
      <w:pPr>
        <w:pStyle w:val="NormalWeb"/>
        <w:numPr>
          <w:ilvl w:val="1"/>
          <w:numId w:val="319"/>
        </w:numPr>
        <w:spacing w:lineRule="auto" w:line="360" w:before="0" w:after="0"/>
        <w:jc w:val="both"/>
        <w:rPr>
          <w:rFonts w:ascii="Arial" w:hAnsi="Arial" w:cs="Arial"/>
          <w:sz w:val="20"/>
          <w:szCs w:val="20"/>
        </w:rPr>
      </w:pPr>
      <w:r>
        <w:rPr>
          <w:rFonts w:cs="Arial" w:ascii="Arial" w:hAnsi="Arial"/>
          <w:sz w:val="20"/>
          <w:szCs w:val="20"/>
        </w:rPr>
        <w:t>Terapia psychologiczna w kryzysach wynikających z doznawanej przemocy</w:t>
      </w:r>
    </w:p>
    <w:p>
      <w:pPr>
        <w:pStyle w:val="NormalWeb"/>
        <w:numPr>
          <w:ilvl w:val="1"/>
          <w:numId w:val="320"/>
        </w:numPr>
        <w:spacing w:lineRule="auto" w:line="360" w:before="0" w:after="0"/>
        <w:jc w:val="both"/>
        <w:rPr>
          <w:rFonts w:ascii="Arial" w:hAnsi="Arial" w:cs="Arial"/>
          <w:sz w:val="20"/>
          <w:szCs w:val="20"/>
        </w:rPr>
      </w:pPr>
      <w:r>
        <w:rPr>
          <w:rFonts w:cs="Arial" w:ascii="Arial" w:hAnsi="Arial"/>
          <w:sz w:val="20"/>
          <w:szCs w:val="20"/>
        </w:rPr>
        <w:t>Grupy wsparcia i grupy samopomocowe</w:t>
      </w:r>
    </w:p>
    <w:p>
      <w:pPr>
        <w:pStyle w:val="NormalWeb"/>
        <w:numPr>
          <w:ilvl w:val="1"/>
          <w:numId w:val="321"/>
        </w:numPr>
        <w:spacing w:lineRule="auto" w:line="360" w:before="0" w:after="0"/>
        <w:jc w:val="both"/>
        <w:rPr>
          <w:rFonts w:ascii="Arial" w:hAnsi="Arial" w:cs="Arial"/>
          <w:sz w:val="20"/>
          <w:szCs w:val="20"/>
        </w:rPr>
      </w:pPr>
      <w:r>
        <w:rPr>
          <w:rFonts w:cs="Arial" w:ascii="Arial" w:hAnsi="Arial"/>
          <w:sz w:val="20"/>
          <w:szCs w:val="20"/>
        </w:rPr>
        <w:t>Usługa hostelu na czas pozostawania w kryzysie po przemocy</w:t>
      </w:r>
    </w:p>
    <w:p>
      <w:pPr>
        <w:pStyle w:val="NormalWeb"/>
        <w:numPr>
          <w:ilvl w:val="1"/>
          <w:numId w:val="322"/>
        </w:numPr>
        <w:spacing w:lineRule="auto" w:line="360" w:before="0" w:after="280"/>
        <w:jc w:val="both"/>
        <w:rPr>
          <w:rFonts w:ascii="Arial" w:hAnsi="Arial" w:cs="Arial"/>
          <w:sz w:val="20"/>
          <w:szCs w:val="20"/>
        </w:rPr>
      </w:pPr>
      <w:r>
        <w:rPr>
          <w:rFonts w:cs="Arial" w:ascii="Arial" w:hAnsi="Arial"/>
          <w:sz w:val="20"/>
          <w:szCs w:val="20"/>
        </w:rPr>
        <w:t>Inne – jakie……………………………………………………………………………………</w:t>
      </w:r>
    </w:p>
    <w:p>
      <w:pPr>
        <w:pStyle w:val="Normal"/>
        <w:spacing w:lineRule="auto" w:line="360"/>
        <w:jc w:val="both"/>
        <w:rPr>
          <w:rFonts w:ascii="Arial" w:hAnsi="Arial" w:cs="Arial"/>
        </w:rPr>
      </w:pPr>
      <w:r>
        <w:rPr>
          <w:rFonts w:cs="Arial" w:ascii="Arial" w:hAnsi="Arial"/>
          <w:b/>
          <w:bCs/>
          <w:i/>
          <w:iCs/>
          <w:sz w:val="20"/>
          <w:szCs w:val="20"/>
        </w:rPr>
        <w:t>Dziękujemy za poświęcony czas i wypełnienie ankiety</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t>Załącznik nr 2</w:t>
      </w:r>
    </w:p>
    <w:p>
      <w:pPr>
        <w:pStyle w:val="Normal"/>
        <w:rPr>
          <w:rFonts w:ascii="Arial" w:hAnsi="Arial" w:cs="Arial"/>
          <w:b/>
          <w:bCs/>
        </w:rPr>
      </w:pPr>
      <w:r>
        <w:rPr>
          <w:rFonts w:cs="Arial" w:ascii="Arial" w:hAnsi="Arial"/>
          <w:b/>
          <w:bCs/>
        </w:rPr>
        <w:t xml:space="preserve">ANALIZA POTRZEB SPOŁECZNYCH WSKAZYWANYCH PRZEZ REPREZENTANTÓW WYBRANYCH GRUP MIESZKAŃCÓW GMINY BYCHAWA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Szanowna/y Pani/Panie</w:t>
      </w:r>
    </w:p>
    <w:p>
      <w:pPr>
        <w:pStyle w:val="Normal"/>
        <w:jc w:val="both"/>
        <w:rPr>
          <w:rFonts w:ascii="Arial" w:hAnsi="Arial" w:cs="Arial"/>
        </w:rPr>
      </w:pPr>
      <w:r>
        <w:rPr>
          <w:rFonts w:cs="Arial" w:ascii="Arial" w:hAnsi="Arial"/>
        </w:rPr>
        <w:t>Wskaż w poniższej tabeli najbardziej istotne potrzeby charakteryzujące Twoją kategorię wiekową, problemową lub inną oraz oczekiwania w zakresie zapewnienia usług społecznych niezbędnych do zaspokojenia tych potrzeb.</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Kategoria identyfikacyjna grupy mieszkańców Gminy Bychawa</w:t>
      </w:r>
    </w:p>
    <w:p>
      <w:pPr>
        <w:pStyle w:val="Normal"/>
        <w:rPr>
          <w:rFonts w:ascii="Arial" w:hAnsi="Arial" w:cs="Arial"/>
        </w:rPr>
      </w:pPr>
      <w:r>
        <w:rPr>
          <w:rFonts w:cs="Arial" w:ascii="Arial" w:hAnsi="Arial"/>
        </w:rPr>
        <w:t>………………………………………………………………………………………………</w:t>
      </w:r>
      <w:r>
        <w:rPr>
          <w:rFonts w:cs="Arial" w:ascii="Arial" w:hAnsi="Arial"/>
        </w:rPr>
        <w:t>.</w:t>
      </w:r>
    </w:p>
    <w:p>
      <w:pPr>
        <w:pStyle w:val="Normal"/>
        <w:rPr>
          <w:rFonts w:ascii="Arial" w:hAnsi="Arial" w:cs="Arial"/>
        </w:rPr>
      </w:pPr>
      <w:r>
        <w:rPr>
          <w:rFonts w:cs="Arial" w:ascii="Arial" w:hAnsi="Arial"/>
        </w:rPr>
      </w:r>
    </w:p>
    <w:tbl>
      <w:tblPr>
        <w:tblStyle w:val="Tabela-Siatka"/>
        <w:tblW w:w="90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02"/>
        <w:gridCol w:w="1652"/>
        <w:gridCol w:w="6813"/>
      </w:tblGrid>
      <w:tr>
        <w:trPr/>
        <w:tc>
          <w:tcPr>
            <w:tcW w:w="602"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Lp</w:t>
            </w:r>
          </w:p>
        </w:tc>
        <w:tc>
          <w:tcPr>
            <w:tcW w:w="1652"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Problem/ Potrzeba</w:t>
            </w:r>
          </w:p>
        </w:tc>
        <w:tc>
          <w:tcPr>
            <w:tcW w:w="6813"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Usługi niezbędne do rozwiązania problemu, minimalizacji skutków problemu i/lub zaspokojenia potrzeb</w:t>
            </w:r>
          </w:p>
        </w:tc>
      </w:tr>
      <w:tr>
        <w:trPr/>
        <w:tc>
          <w:tcPr>
            <w:tcW w:w="60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tc>
        <w:tc>
          <w:tcPr>
            <w:tcW w:w="16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c>
          <w:tcPr>
            <w:tcW w:w="6813"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r>
      <w:tr>
        <w:trPr/>
        <w:tc>
          <w:tcPr>
            <w:tcW w:w="60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tc>
        <w:tc>
          <w:tcPr>
            <w:tcW w:w="16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c>
          <w:tcPr>
            <w:tcW w:w="6813"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r>
      <w:tr>
        <w:trPr/>
        <w:tc>
          <w:tcPr>
            <w:tcW w:w="60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tc>
        <w:tc>
          <w:tcPr>
            <w:tcW w:w="16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c>
          <w:tcPr>
            <w:tcW w:w="6813"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r>
    </w:tbl>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t xml:space="preserve">Załącznik nr 3. </w:t>
      </w:r>
    </w:p>
    <w:p>
      <w:pPr>
        <w:pStyle w:val="Normal"/>
        <w:rPr>
          <w:rFonts w:ascii="Arial" w:hAnsi="Arial" w:cs="Arial"/>
          <w:b/>
          <w:bCs/>
        </w:rPr>
      </w:pPr>
      <w:r>
        <w:rPr>
          <w:rFonts w:cs="Arial" w:ascii="Arial" w:hAnsi="Arial"/>
          <w:b/>
          <w:bCs/>
        </w:rPr>
        <w:t xml:space="preserve">ANALIZA POTRZEB SPOŁECZNYCH OBSERWOWANYCH I/LUB IDENTYFIKOWANYCH PRZEZ SPECJALISTÓW WYKONUJĄCYCH DZIAŁANIA LUB USŁUGI DLA MIESZKAŃCÓW GMINY BYCHAWA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Kategoria problemu / grupa adresatów działań…………………………………………….</w:t>
      </w:r>
    </w:p>
    <w:p>
      <w:pPr>
        <w:pStyle w:val="Normal"/>
        <w:rPr>
          <w:rFonts w:ascii="Arial" w:hAnsi="Arial" w:cs="Arial"/>
        </w:rPr>
      </w:pPr>
      <w:r>
        <w:rPr>
          <w:rFonts w:cs="Arial" w:ascii="Arial" w:hAnsi="Arial"/>
        </w:rPr>
        <w:t>Nazwa sektora usług /podmiotu - reprezentowana przez specjalistów………………….</w:t>
      </w:r>
    </w:p>
    <w:p>
      <w:pPr>
        <w:pStyle w:val="Normal"/>
        <w:jc w:val="both"/>
        <w:rPr>
          <w:rFonts w:ascii="Arial" w:hAnsi="Arial" w:cs="Arial"/>
        </w:rPr>
      </w:pPr>
      <w:r>
        <w:rPr>
          <w:rFonts w:cs="Arial" w:ascii="Arial" w:hAnsi="Arial"/>
        </w:rPr>
      </w:r>
    </w:p>
    <w:tbl>
      <w:tblPr>
        <w:tblStyle w:val="Tabela-Siatka"/>
        <w:tblW w:w="90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02"/>
        <w:gridCol w:w="1652"/>
        <w:gridCol w:w="6813"/>
      </w:tblGrid>
      <w:tr>
        <w:trPr/>
        <w:tc>
          <w:tcPr>
            <w:tcW w:w="602"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Lp</w:t>
            </w:r>
          </w:p>
        </w:tc>
        <w:tc>
          <w:tcPr>
            <w:tcW w:w="1652"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Problem/ Potrzeba</w:t>
            </w:r>
          </w:p>
        </w:tc>
        <w:tc>
          <w:tcPr>
            <w:tcW w:w="6813"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Usługi niezbędne do rozwiązania problemu, minimalizacji skutków problemu i/lub zaspokojenia potrzeb</w:t>
            </w:r>
          </w:p>
        </w:tc>
      </w:tr>
      <w:tr>
        <w:trPr/>
        <w:tc>
          <w:tcPr>
            <w:tcW w:w="60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tc>
        <w:tc>
          <w:tcPr>
            <w:tcW w:w="16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c>
          <w:tcPr>
            <w:tcW w:w="6813"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r>
      <w:tr>
        <w:trPr/>
        <w:tc>
          <w:tcPr>
            <w:tcW w:w="60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tc>
        <w:tc>
          <w:tcPr>
            <w:tcW w:w="16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c>
          <w:tcPr>
            <w:tcW w:w="6813"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r>
      <w:tr>
        <w:trPr/>
        <w:tc>
          <w:tcPr>
            <w:tcW w:w="60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tc>
        <w:tc>
          <w:tcPr>
            <w:tcW w:w="16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c>
          <w:tcPr>
            <w:tcW w:w="6813"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r>
      <w:tr>
        <w:trPr/>
        <w:tc>
          <w:tcPr>
            <w:tcW w:w="60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c>
          <w:tcPr>
            <w:tcW w:w="16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tc>
        <w:tc>
          <w:tcPr>
            <w:tcW w:w="6813"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r>
    </w:tbl>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t xml:space="preserve">Załącznik nr 4. </w:t>
      </w:r>
    </w:p>
    <w:p>
      <w:pPr>
        <w:pStyle w:val="Normal"/>
        <w:rPr>
          <w:rFonts w:ascii="Arial" w:hAnsi="Arial" w:cs="Arial"/>
          <w:b/>
          <w:bCs/>
        </w:rPr>
      </w:pPr>
      <w:r>
        <w:rPr>
          <w:rFonts w:cs="Arial" w:ascii="Arial" w:hAnsi="Arial"/>
          <w:b/>
          <w:bCs/>
        </w:rPr>
        <w:t>ARKUSZ OBSERWACJI</w:t>
      </w:r>
    </w:p>
    <w:p>
      <w:pPr>
        <w:pStyle w:val="Normal"/>
        <w:rPr>
          <w:rFonts w:ascii="Arial" w:hAnsi="Arial" w:cs="Arial"/>
          <w:b/>
          <w:bCs/>
        </w:rPr>
      </w:pPr>
      <w:r>
        <w:rPr>
          <w:rFonts w:cs="Arial" w:ascii="Arial" w:hAnsi="Arial"/>
          <w:b/>
          <w:bCs/>
        </w:rPr>
        <w:t xml:space="preserve"> </w:t>
      </w:r>
      <w:r>
        <w:rPr>
          <w:rFonts w:cs="Arial" w:ascii="Arial" w:hAnsi="Arial"/>
          <w:b/>
          <w:bCs/>
        </w:rPr>
        <w:t xml:space="preserve">POTRZEB SPOŁECZNYCH OBSERWOWANYCH I/LUB IDENTYFIKOWANYCH PRZEZ SPECJALISTÓW WYKONUJĄCYCH DZIAŁANIA LUB USŁUGI DLA MIESZKAŃCÓW GMINY BYCHAWA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Kategoria problemu / grupa adresatów działań…………………………………………….</w:t>
      </w:r>
    </w:p>
    <w:p>
      <w:pPr>
        <w:pStyle w:val="Normal"/>
        <w:jc w:val="both"/>
        <w:rPr>
          <w:rFonts w:ascii="Arial" w:hAnsi="Arial" w:cs="Arial"/>
        </w:rPr>
      </w:pPr>
      <w:r>
        <w:rPr>
          <w:rFonts w:cs="Arial" w:ascii="Arial" w:hAnsi="Arial"/>
        </w:rPr>
        <w:t>Nazwa obserwowanego sektora usług /podmiotu - reprezentowana przez specjalistów………………….…………………………………………………………………</w:t>
      </w:r>
    </w:p>
    <w:p>
      <w:pPr>
        <w:pStyle w:val="Normal"/>
        <w:jc w:val="both"/>
        <w:rPr>
          <w:rFonts w:ascii="Arial" w:hAnsi="Arial" w:cs="Arial"/>
        </w:rPr>
      </w:pPr>
      <w:r>
        <w:rPr>
          <w:rFonts w:cs="Arial" w:ascii="Arial" w:hAnsi="Arial"/>
        </w:rPr>
      </w:r>
    </w:p>
    <w:tbl>
      <w:tblPr>
        <w:tblStyle w:val="Tabela-Siatka"/>
        <w:tblW w:w="90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02"/>
        <w:gridCol w:w="1652"/>
        <w:gridCol w:w="6813"/>
      </w:tblGrid>
      <w:tr>
        <w:trPr/>
        <w:tc>
          <w:tcPr>
            <w:tcW w:w="602"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Lp</w:t>
            </w:r>
          </w:p>
        </w:tc>
        <w:tc>
          <w:tcPr>
            <w:tcW w:w="1652"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Problem/ Potrzeba</w:t>
            </w:r>
          </w:p>
        </w:tc>
        <w:tc>
          <w:tcPr>
            <w:tcW w:w="6813"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Uwagi w zakresie usprawnienia i definiowania usług społecznych niezbędnych do zaspokojenia potrzeb społecznych</w:t>
            </w:r>
          </w:p>
        </w:tc>
      </w:tr>
      <w:tr>
        <w:trPr/>
        <w:tc>
          <w:tcPr>
            <w:tcW w:w="60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tc>
        <w:tc>
          <w:tcPr>
            <w:tcW w:w="16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c>
          <w:tcPr>
            <w:tcW w:w="6813"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r>
      <w:tr>
        <w:trPr/>
        <w:tc>
          <w:tcPr>
            <w:tcW w:w="60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tc>
        <w:tc>
          <w:tcPr>
            <w:tcW w:w="16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c>
          <w:tcPr>
            <w:tcW w:w="6813"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r>
      <w:tr>
        <w:trPr/>
        <w:tc>
          <w:tcPr>
            <w:tcW w:w="60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p>
            <w:pPr>
              <w:pStyle w:val="Normal"/>
              <w:widowControl/>
              <w:suppressAutoHyphens w:val="true"/>
              <w:spacing w:lineRule="auto" w:line="240" w:before="0" w:after="0"/>
              <w:jc w:val="center"/>
              <w:rPr>
                <w:rFonts w:ascii="Arial" w:hAnsi="Arial" w:cs="Arial"/>
              </w:rPr>
            </w:pPr>
            <w:r>
              <w:rPr>
                <w:rFonts w:cs="Arial" w:ascii="Arial" w:hAnsi="Arial"/>
              </w:rPr>
            </w:r>
          </w:p>
        </w:tc>
        <w:tc>
          <w:tcPr>
            <w:tcW w:w="1652"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c>
          <w:tcPr>
            <w:tcW w:w="6813" w:type="dxa"/>
            <w:tcBorders/>
          </w:tcPr>
          <w:p>
            <w:pPr>
              <w:pStyle w:val="Normal"/>
              <w:widowControl/>
              <w:suppressAutoHyphens w:val="true"/>
              <w:spacing w:lineRule="auto" w:line="240" w:before="0" w:after="0"/>
              <w:jc w:val="center"/>
              <w:rPr>
                <w:rFonts w:ascii="Arial" w:hAnsi="Arial" w:cs="Arial"/>
              </w:rPr>
            </w:pPr>
            <w:r>
              <w:rPr>
                <w:rFonts w:cs="Arial" w:ascii="Arial" w:hAnsi="Arial"/>
              </w:rPr>
            </w:r>
          </w:p>
        </w:tc>
      </w:tr>
    </w:tbl>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rPr>
      </w:pPr>
      <w:r>
        <w:rPr>
          <w:rFonts w:cs="Arial" w:ascii="Arial" w:hAnsi="Arial"/>
        </w:rPr>
      </w:r>
    </w:p>
    <w:p>
      <w:pPr>
        <w:pStyle w:val="BodyText"/>
        <w:rPr>
          <w:rFonts w:ascii="Arial" w:hAnsi="Arial" w:cs="Arial"/>
        </w:rPr>
      </w:pPr>
      <w:r>
        <w:rPr>
          <w:rFonts w:cs="Arial" w:ascii="Arial" w:hAnsi="Arial"/>
        </w:rPr>
      </w:r>
    </w:p>
    <w:p>
      <w:pPr>
        <w:pStyle w:val="BodyText"/>
        <w:rPr>
          <w:rFonts w:ascii="Arial" w:hAnsi="Arial" w:cs="Arial"/>
        </w:rPr>
      </w:pPr>
      <w:r>
        <w:rPr>
          <w:rFonts w:cs="Arial" w:ascii="Arial" w:hAnsi="Arial"/>
        </w:rPr>
        <w:t xml:space="preserve">Zał. Nr 5. </w:t>
      </w:r>
    </w:p>
    <w:p>
      <w:pPr>
        <w:pStyle w:val="BodyText"/>
        <w:rPr>
          <w:rFonts w:ascii="Arial" w:hAnsi="Arial" w:cs="Arial"/>
          <w:b/>
          <w:bCs/>
        </w:rPr>
      </w:pPr>
      <w:r>
        <w:rPr>
          <w:rFonts w:cs="Arial" w:ascii="Arial" w:hAnsi="Arial"/>
          <w:b/>
          <w:bCs/>
        </w:rPr>
        <w:t>ORGANIZACJE POZARZĄDOWE DZIAŁAJĄCE NA TERENIE GMINY BYCHAWA</w:t>
      </w:r>
    </w:p>
    <w:p>
      <w:pPr>
        <w:pStyle w:val="BodyText"/>
        <w:rPr>
          <w:rFonts w:ascii="Arial" w:hAnsi="Arial" w:cs="Arial"/>
          <w:b/>
          <w:bCs/>
          <w:color w:themeColor="background1" w:val="FFFFFF"/>
        </w:rPr>
      </w:pPr>
      <w:r>
        <w:rPr>
          <w:rFonts w:cs="Arial" w:ascii="Arial" w:hAnsi="Arial"/>
          <w:b/>
          <w:bCs/>
          <w:color w:themeColor="background1" w:val="FFFFFF"/>
        </w:rPr>
      </w:r>
    </w:p>
    <w:tbl>
      <w:tblPr>
        <w:tblStyle w:val="Tabela-Siatka"/>
        <w:tblW w:w="9214" w:type="dxa"/>
        <w:jc w:val="left"/>
        <w:tblInd w:w="-5" w:type="dxa"/>
        <w:tblLayout w:type="fixed"/>
        <w:tblCellMar>
          <w:top w:w="0" w:type="dxa"/>
          <w:left w:w="98" w:type="dxa"/>
          <w:bottom w:w="0" w:type="dxa"/>
          <w:right w:w="108" w:type="dxa"/>
        </w:tblCellMar>
        <w:tblLook w:firstRow="1" w:noVBand="1" w:lastRow="0" w:firstColumn="1" w:lastColumn="0" w:noHBand="0" w:val="04a0"/>
      </w:tblPr>
      <w:tblGrid>
        <w:gridCol w:w="1206"/>
        <w:gridCol w:w="8007"/>
      </w:tblGrid>
      <w:tr>
        <w:trPr/>
        <w:tc>
          <w:tcPr>
            <w:tcW w:w="1206" w:type="dxa"/>
            <w:tcBorders/>
            <w:shd w:color="auto" w:fill="4A66AC" w:themeFill="accent1" w:val="clear"/>
          </w:tcPr>
          <w:p>
            <w:pPr>
              <w:pStyle w:val="Normal"/>
              <w:widowControl/>
              <w:suppressAutoHyphens w:val="true"/>
              <w:spacing w:lineRule="auto" w:line="240" w:before="0" w:after="0"/>
              <w:jc w:val="center"/>
              <w:rPr>
                <w:rFonts w:ascii="Arial" w:hAnsi="Arial" w:cs="Arial"/>
                <w:b/>
                <w:bCs/>
                <w:color w:themeColor="background1" w:val="FFFFFF"/>
              </w:rPr>
            </w:pPr>
            <w:r>
              <w:rPr>
                <w:rFonts w:eastAsia="Aptos" w:cs="Arial" w:ascii="Arial" w:hAnsi="Arial"/>
                <w:b/>
                <w:bCs/>
                <w:color w:themeColor="background1" w:val="FFFFFF"/>
                <w:kern w:val="2"/>
                <w:sz w:val="24"/>
                <w:szCs w:val="24"/>
                <w:lang w:val="pl-PL" w:eastAsia="en-US" w:bidi="ar-SA"/>
              </w:rPr>
              <w:t>Lp.</w:t>
            </w:r>
          </w:p>
        </w:tc>
        <w:tc>
          <w:tcPr>
            <w:tcW w:w="8007" w:type="dxa"/>
            <w:tcBorders/>
            <w:shd w:color="auto" w:fill="4A66AC" w:themeFill="accent1" w:val="clear"/>
          </w:tcPr>
          <w:p>
            <w:pPr>
              <w:pStyle w:val="Normal"/>
              <w:widowControl/>
              <w:suppressAutoHyphens w:val="true"/>
              <w:spacing w:lineRule="auto" w:line="240" w:before="0" w:after="0"/>
              <w:jc w:val="center"/>
              <w:rPr>
                <w:rFonts w:ascii="Arial" w:hAnsi="Arial" w:cs="Arial"/>
                <w:b/>
                <w:bCs/>
                <w:color w:themeColor="background1" w:val="FFFFFF"/>
              </w:rPr>
            </w:pPr>
            <w:r>
              <w:rPr>
                <w:rFonts w:eastAsia="Aptos" w:cs="Arial" w:ascii="Arial" w:hAnsi="Arial"/>
                <w:b/>
                <w:bCs/>
                <w:color w:themeColor="background1" w:val="FFFFFF"/>
                <w:kern w:val="2"/>
                <w:sz w:val="24"/>
                <w:szCs w:val="24"/>
                <w:lang w:val="pl-PL" w:eastAsia="en-US" w:bidi="ar-SA"/>
              </w:rPr>
              <w:t>NAZWA ORGANIZACJI</w:t>
            </w:r>
          </w:p>
          <w:p>
            <w:pPr>
              <w:pStyle w:val="Normal"/>
              <w:widowControl/>
              <w:suppressAutoHyphens w:val="true"/>
              <w:spacing w:lineRule="auto" w:line="240" w:before="0" w:after="0"/>
              <w:jc w:val="center"/>
              <w:rPr>
                <w:rFonts w:ascii="Arial" w:hAnsi="Arial" w:cs="Arial"/>
                <w:b/>
                <w:bCs/>
                <w:color w:themeColor="background1" w:val="FFFFFF"/>
              </w:rPr>
            </w:pPr>
            <w:r>
              <w:rPr>
                <w:rFonts w:cs="Arial" w:ascii="Arial" w:hAnsi="Arial"/>
                <w:b/>
                <w:bCs/>
                <w:color w:themeColor="background1" w:val="FFFFFF"/>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Bychawski Ludowy Klub Sportowy "Granit" w Bychawie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op w:val="nil"/>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w:t>
            </w:r>
          </w:p>
        </w:tc>
        <w:tc>
          <w:tcPr>
            <w:tcW w:w="8007" w:type="dxa"/>
            <w:tcBorders>
              <w:top w:val="nil"/>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Uczniowski Klub Pływacki Bychawa</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Bychawskie Stowarzyszenie Kobiet Aktywnych</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4</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Bychawskie Stowarzyszenie "Podkowa"</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5</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Bychawskie Stowarzyszenie Współpracy Międzynarodowej</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6</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Bychawskie Towarzystwo Regionalne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7</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Cech Rzemiosł Różnych</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8</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Europejska Fundacja Folkloru, Muzyki i Kultury Ludowej "Cyja"</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9</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Gminny Związek Rolników, Kółek i Organizacji Rolniczych w Bychawie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10</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Parafia Rzymskokatolicka pw. Św. j. Chrzcieciela w Bychawie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11</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Katolickie Stowarzyszenie Młodzieży „Altitudo” przy parafii pw. Św. Jana Chrzciciela w Bychawie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12</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Klub Motorowy Zespołu Szkół Zawodowych Nr 1 w Bychawie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13</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Stowarzyszenie Strażnicy Pamięci Ziemi Bychawskiej</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14</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Bychawska Grupa Motocyklowa MOTOPODKOWA</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15</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Liga Obrony Kraju - Koło w Bychawie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16</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Polski Związek Emerytów, Rencistów i Inwalidów Oddział w Bychawie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17</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Polskie Stowarzyszenie Użytkowników i Przyjaciół Koni Roboczych oraz Konnych Producentów Żywności Ekologicznej im. prof. Ewalda Sasimowskiego - Oddział w Bychawie</w:t>
            </w:r>
          </w:p>
        </w:tc>
      </w:tr>
      <w:tr>
        <w:trPr/>
        <w:tc>
          <w:tcPr>
            <w:tcW w:w="1206" w:type="dxa"/>
            <w:tcBorders>
              <w:top w:val="nil"/>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18</w:t>
            </w:r>
          </w:p>
        </w:tc>
        <w:tc>
          <w:tcPr>
            <w:tcW w:w="8007" w:type="dxa"/>
            <w:tcBorders>
              <w:top w:val="nil"/>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Polski Związek Wędkarski Koło PZW w Bychawie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19</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Stowarzyszenie na rzecz Rozwoju Wsi Zaraszów i Okolic</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20</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Stowarzyszenie Razem dla Kultury</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op w:val="nil"/>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21</w:t>
            </w:r>
          </w:p>
        </w:tc>
        <w:tc>
          <w:tcPr>
            <w:tcW w:w="8007" w:type="dxa"/>
            <w:tcBorders>
              <w:top w:val="nil"/>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Stowarzyszenie Kreatywna Bychawa</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22</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Światowy Związek Żołnierzy Armii Krajowej Koło w Bychawie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op w:val="nil"/>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23</w:t>
            </w:r>
          </w:p>
        </w:tc>
        <w:tc>
          <w:tcPr>
            <w:tcW w:w="8007" w:type="dxa"/>
            <w:tcBorders>
              <w:top w:val="nil"/>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Związek Kombatantów RP i Byłych Więźniów Politycznych, Oddział w Bychawie</w:t>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24</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Związek Inwalidów Wojennych RP - Zarząd Oddziału w Bychawie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25</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Bychawce Pierwszej</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26</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Bychawce Drugiej</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27</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Gałęzowie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28</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Gałęzowie Kolonii Pierwszej</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29</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Gałęzowie Kolonii Drugiej</w:t>
            </w:r>
          </w:p>
          <w:p>
            <w:pPr>
              <w:pStyle w:val="Normal"/>
              <w:widowControl/>
              <w:tabs>
                <w:tab w:val="clear" w:pos="708"/>
                <w:tab w:val="left" w:pos="802" w:leader="none"/>
              </w:tabs>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30</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Kosarzewie Dolnym Kolonii</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31</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Kowersku</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32</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Olszowcu</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33</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Starej Wsi Drugiej</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34</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Starej Wsi Trzeciej</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35</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Woli Dużej</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36</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Woli Gałęzowskiej</w:t>
            </w:r>
          </w:p>
          <w:p>
            <w:pPr>
              <w:pStyle w:val="Normal"/>
              <w:widowControl/>
              <w:tabs>
                <w:tab w:val="clear" w:pos="708"/>
                <w:tab w:val="left" w:pos="842" w:leader="none"/>
              </w:tabs>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37</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Zaraszowie</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38</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Kolonii Zaraszów</w:t>
            </w:r>
          </w:p>
          <w:p>
            <w:pPr>
              <w:pStyle w:val="Normal"/>
              <w:widowControl/>
              <w:suppressAutoHyphens w:val="true"/>
              <w:spacing w:lineRule="auto" w:line="240" w:before="0" w:after="0"/>
              <w:jc w:val="left"/>
              <w:rPr>
                <w:rFonts w:ascii="Arial" w:hAnsi="Arial" w:cs="Arial"/>
              </w:rPr>
            </w:pPr>
            <w:r>
              <w:rPr>
                <w:rFonts w:cs="Arial" w:ascii="Arial" w:hAnsi="Arial"/>
              </w:rPr>
            </w:r>
          </w:p>
        </w:tc>
      </w:tr>
      <w:tr>
        <w:trPr/>
        <w:tc>
          <w:tcPr>
            <w:tcW w:w="1206" w:type="dxa"/>
            <w:tcBorders/>
          </w:tcPr>
          <w:p>
            <w:pPr>
              <w:pStyle w:val="Normal"/>
              <w:widowControl/>
              <w:suppressAutoHyphens w:val="true"/>
              <w:spacing w:lineRule="auto" w:line="240" w:before="0" w:after="0"/>
              <w:jc w:val="center"/>
              <w:rPr>
                <w:rFonts w:ascii="Arial" w:hAnsi="Arial" w:cs="Arial"/>
              </w:rPr>
            </w:pPr>
            <w:r>
              <w:rPr>
                <w:rFonts w:eastAsia="Aptos" w:cs="Arial" w:ascii="Arial" w:hAnsi="Arial"/>
                <w:kern w:val="2"/>
                <w:sz w:val="24"/>
                <w:szCs w:val="24"/>
                <w:lang w:val="pl-PL" w:eastAsia="en-US" w:bidi="ar-SA"/>
              </w:rPr>
              <w:t>39</w:t>
            </w:r>
          </w:p>
        </w:tc>
        <w:tc>
          <w:tcPr>
            <w:tcW w:w="8007" w:type="dxa"/>
            <w:tcBorders/>
          </w:tcPr>
          <w:p>
            <w:pPr>
              <w:pStyle w:val="Normal"/>
              <w:widowControl/>
              <w:suppressAutoHyphens w:val="true"/>
              <w:spacing w:lineRule="auto" w:line="240" w:before="0" w:after="0"/>
              <w:jc w:val="left"/>
              <w:rPr>
                <w:rFonts w:ascii="Arial" w:hAnsi="Arial" w:cs="Arial"/>
              </w:rPr>
            </w:pPr>
            <w:r>
              <w:rPr>
                <w:rFonts w:eastAsia="Aptos" w:cs="Arial" w:ascii="Arial" w:hAnsi="Arial"/>
                <w:kern w:val="2"/>
                <w:sz w:val="24"/>
                <w:szCs w:val="24"/>
                <w:lang w:val="pl-PL" w:eastAsia="en-US" w:bidi="ar-SA"/>
              </w:rPr>
              <w:t>Ochotnicza Straż Pożarna w Zdrapach</w:t>
            </w:r>
          </w:p>
          <w:p>
            <w:pPr>
              <w:pStyle w:val="Normal"/>
              <w:widowControl/>
              <w:suppressAutoHyphens w:val="true"/>
              <w:spacing w:lineRule="auto" w:line="240" w:before="0" w:after="0"/>
              <w:jc w:val="left"/>
              <w:rPr>
                <w:rFonts w:ascii="Arial" w:hAnsi="Arial" w:cs="Arial"/>
              </w:rPr>
            </w:pPr>
            <w:r>
              <w:rPr>
                <w:rFonts w:cs="Arial" w:ascii="Arial" w:hAnsi="Arial"/>
              </w:rPr>
            </w:r>
          </w:p>
        </w:tc>
      </w:tr>
    </w:tbl>
    <w:p>
      <w:pPr>
        <w:pStyle w:val="Normal"/>
        <w:rPr>
          <w:rFonts w:ascii="Arial" w:hAnsi="Arial" w:cs="Arial"/>
        </w:rPr>
      </w:pPr>
      <w:r>
        <w:rPr>
          <w:rFonts w:cs="Arial" w:ascii="Arial" w:hAnsi="Arial"/>
        </w:rPr>
      </w:r>
    </w:p>
    <w:p>
      <w:pPr>
        <w:pStyle w:val="Normal"/>
        <w:jc w:val="left"/>
        <w:rPr/>
      </w:pPr>
      <w:r>
        <w:rPr/>
      </w:r>
    </w:p>
    <w:p>
      <w:pPr>
        <w:pStyle w:val="Normal"/>
        <w:jc w:val="left"/>
        <w:rPr/>
      </w:pPr>
      <w:r>
        <w:rPr/>
        <w:t>Zał. 6</w:t>
      </w:r>
    </w:p>
    <w:p>
      <w:pPr>
        <w:pStyle w:val="Textbody"/>
        <w:jc w:val="center"/>
        <w:rPr>
          <w:rFonts w:ascii="Arial" w:hAnsi="Arial" w:cs="Arial"/>
          <w:b/>
          <w:bCs/>
        </w:rPr>
      </w:pPr>
      <w:r>
        <w:rPr>
          <w:rFonts w:cs="Arial" w:ascii="Arial" w:hAnsi="Arial"/>
          <w:b/>
          <w:bCs/>
        </w:rPr>
        <w:t>WYKAZ KÓŁ GOSPODYŃ WIEJSKICH – GMINA BYCHAWA</w:t>
      </w:r>
    </w:p>
    <w:tbl>
      <w:tblPr>
        <w:tblW w:w="8784" w:type="dxa"/>
        <w:jc w:val="left"/>
        <w:tblInd w:w="0" w:type="dxa"/>
        <w:tblLayout w:type="fixed"/>
        <w:tblCellMar>
          <w:top w:w="55" w:type="dxa"/>
          <w:left w:w="55" w:type="dxa"/>
          <w:bottom w:w="55" w:type="dxa"/>
          <w:right w:w="55" w:type="dxa"/>
        </w:tblCellMar>
        <w:tblLook w:firstRow="1" w:noVBand="1" w:lastRow="0" w:firstColumn="1" w:lastColumn="0" w:noHBand="0" w:val="04a0"/>
      </w:tblPr>
      <w:tblGrid>
        <w:gridCol w:w="967"/>
        <w:gridCol w:w="7816"/>
      </w:tblGrid>
      <w:tr>
        <w:trPr/>
        <w:tc>
          <w:tcPr>
            <w:tcW w:w="967" w:type="dxa"/>
            <w:tcBorders>
              <w:top w:val="single" w:sz="4" w:space="0" w:color="000000"/>
              <w:left w:val="single" w:sz="4" w:space="0" w:color="000000"/>
              <w:bottom w:val="single" w:sz="4" w:space="0" w:color="000000"/>
              <w:right w:val="single" w:sz="4" w:space="0" w:color="000000"/>
            </w:tcBorders>
            <w:shd w:color="auto" w:fill="00204F" w:val="clear"/>
          </w:tcPr>
          <w:p>
            <w:pPr>
              <w:pStyle w:val="Zawartotabeliuser"/>
              <w:rPr>
                <w:rFonts w:ascii="Arial" w:hAnsi="Arial" w:cs="Arial"/>
                <w:b/>
                <w:bCs/>
                <w:color w:themeColor="background1" w:val="FFFFFF"/>
              </w:rPr>
            </w:pPr>
            <w:r>
              <w:rPr>
                <w:rFonts w:cs="Arial" w:ascii="Arial" w:hAnsi="Arial"/>
                <w:b/>
                <w:bCs/>
                <w:color w:themeColor="background1" w:val="FFFFFF"/>
              </w:rPr>
              <w:t>L.P.</w:t>
            </w:r>
          </w:p>
        </w:tc>
        <w:tc>
          <w:tcPr>
            <w:tcW w:w="7816" w:type="dxa"/>
            <w:tcBorders>
              <w:top w:val="single" w:sz="4" w:space="0" w:color="000000"/>
              <w:left w:val="single" w:sz="4" w:space="0" w:color="000000"/>
              <w:bottom w:val="single" w:sz="4" w:space="0" w:color="000000"/>
              <w:right w:val="single" w:sz="4" w:space="0" w:color="000000"/>
            </w:tcBorders>
            <w:shd w:color="auto" w:fill="00204F" w:val="clear"/>
          </w:tcPr>
          <w:p>
            <w:pPr>
              <w:pStyle w:val="Zawartotabeliuser"/>
              <w:rPr>
                <w:rFonts w:ascii="Arial" w:hAnsi="Arial" w:cs="Arial"/>
                <w:b/>
                <w:bCs/>
                <w:color w:themeColor="background1" w:val="FFFFFF"/>
              </w:rPr>
            </w:pPr>
            <w:r>
              <w:rPr>
                <w:rFonts w:cs="Arial" w:ascii="Arial" w:hAnsi="Arial"/>
                <w:b/>
                <w:bCs/>
                <w:color w:themeColor="background1" w:val="FFFFFF"/>
              </w:rPr>
              <w:t>NAZWA Koła Gospodyń Wiejskich</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 Osowie i Osowie- Kolonii</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2.</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 Woli Dużej - Kolonia</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3.</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 Gałęzowie -Kolonii Pierwszej</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4.</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 Bychawie Sołectwo Grodzany</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5.</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„Gałązki” w Gałęzowie -Kolonii Drugiej</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6.</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Zaraszów</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7.</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 Zaraszowie-Kolonii i Urszulinie</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8.</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 Woli Dużej</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9.</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„Trójeczka” w Starej Wsi Trzeciej</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10</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i Gospodarzy „Nasza Bychawka” w Bychawce Trzeciej</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11.</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„Bychawczanki” w Bychawce Pierwszej</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12.</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 Leśniczówce</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13.</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Wandzin</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14.</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„Wolinianki” w Woli Gałęzowskiej</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15.</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„Kosarzewianki” w Kosarzewie Dolnym – Kolonia</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16.</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„Trzy Kłosy” w Starej Wsi Drugiej</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17.</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„Aktywna Jedynka” w Starej Wsi Pierwszej</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18.</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Skawinek</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19.</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 Bychawie „Aktywne”</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20.</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„Pod Grodziskiem” w Zdrapach</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21.</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 Gałęzowie „Gałęzowianki”</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22.</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„Bychawka” w Bychawce Drugiej</w:t>
            </w:r>
          </w:p>
        </w:tc>
      </w:tr>
      <w:tr>
        <w:trPr/>
        <w:tc>
          <w:tcPr>
            <w:tcW w:w="967"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23</w:t>
            </w:r>
          </w:p>
        </w:tc>
        <w:tc>
          <w:tcPr>
            <w:tcW w:w="7816" w:type="dxa"/>
            <w:tcBorders>
              <w:top w:val="single" w:sz="4" w:space="0" w:color="000000"/>
              <w:left w:val="single" w:sz="4" w:space="0" w:color="000000"/>
              <w:bottom w:val="single" w:sz="4" w:space="0" w:color="000000"/>
              <w:right w:val="single" w:sz="4" w:space="0" w:color="000000"/>
            </w:tcBorders>
          </w:tcPr>
          <w:p>
            <w:pPr>
              <w:pStyle w:val="Zawartotabeliuser"/>
              <w:rPr>
                <w:rFonts w:ascii="Arial" w:hAnsi="Arial" w:cs="Arial"/>
              </w:rPr>
            </w:pPr>
            <w:r>
              <w:rPr>
                <w:rFonts w:cs="Arial" w:ascii="Arial" w:hAnsi="Arial"/>
              </w:rPr>
              <w:t>KGW w Kowersku „Akacjowy Zakątek”</w:t>
            </w:r>
          </w:p>
        </w:tc>
      </w:tr>
    </w:tbl>
    <w:p>
      <w:pPr>
        <w:pStyle w:val="Standard"/>
        <w:spacing w:lineRule="auto" w:line="360"/>
        <w:jc w:val="both"/>
        <w:rPr>
          <w:rFonts w:ascii="Times New Roman" w:hAnsi="Times New Roman" w:cs="Times New Roman"/>
          <w:b/>
          <w:bCs/>
        </w:rPr>
      </w:pPr>
      <w:r>
        <w:rPr>
          <w:rFonts w:cs="Times New Roman" w:ascii="Times New Roman" w:hAnsi="Times New Roman"/>
          <w:b/>
          <w:bCs/>
        </w:rPr>
      </w:r>
    </w:p>
    <w:p>
      <w:pPr>
        <w:pStyle w:val="Normal"/>
        <w:spacing w:before="0" w:after="160"/>
        <w:jc w:val="left"/>
        <w:rPr/>
      </w:pPr>
      <w:r>
        <w:rPr/>
      </w:r>
    </w:p>
    <w:sectPr>
      <w:headerReference w:type="even" r:id="rId20"/>
      <w:headerReference w:type="default" r:id="rId21"/>
      <w:headerReference w:type="first" r:id="rId22"/>
      <w:footerReference w:type="even" r:id="rId23"/>
      <w:footerReference w:type="default" r:id="rId24"/>
      <w:footerReference w:type="first" r:id="rId25"/>
      <w:footnotePr>
        <w:numFmt w:val="decimal"/>
      </w:footnotePr>
      <w:type w:val="nextPage"/>
      <w:pgSz w:w="11906" w:h="16838"/>
      <w:pgMar w:left="1417" w:right="1417" w:gutter="0" w:header="708" w:top="1417" w:footer="708" w:bottom="141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Aptos">
    <w:charset w:val="ee"/>
    <w:family w:val="roman"/>
    <w:pitch w:val="variable"/>
  </w:font>
  <w:font w:name="Arial">
    <w:charset w:val="ee"/>
    <w:family w:val="swiss"/>
    <w:pitch w:val="variable"/>
  </w:font>
  <w:font w:name="Aptos Display">
    <w:charset w:val="ee"/>
    <w:family w:val="roman"/>
    <w:pitch w:val="variable"/>
  </w:font>
  <w:font w:name="Liberation Sans">
    <w:altName w:val="Arial"/>
    <w:charset w:val="ee"/>
    <w:family w:val="swiss"/>
    <w:pitch w:val="variable"/>
  </w:font>
  <w:font w:name="Times New Roman">
    <w:charset w:val="ee"/>
    <w:family w:val="roman"/>
    <w:pitch w:val="variable"/>
  </w:font>
  <w:font w:name="Arial Unicode MS">
    <w:charset w:val="ee"/>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34938982"/>
    </w:sdtPr>
    <w:sdtContent>
      <w:p>
        <w:pPr>
          <w:pStyle w:val="Footer"/>
          <w:rPr/>
        </w:pPr>
        <w:r>
          <w:rPr/>
          <w:fldChar w:fldCharType="begin"/>
        </w:r>
        <w:r>
          <w:rPr/>
          <w:instrText xml:space="preserve"> PAGE </w:instrText>
        </w:r>
        <w:r>
          <w:rPr/>
          <w:fldChar w:fldCharType="separate"/>
        </w:r>
        <w:r>
          <w:rPr/>
          <w:t>98</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jc w:val="both"/>
        <w:rPr>
          <w:rFonts w:ascii="Arial" w:hAnsi="Arial" w:cs="Arial"/>
        </w:rPr>
      </w:pPr>
      <w:r>
        <w:rPr>
          <w:rStyle w:val="Znakiprzypiswdolnych"/>
        </w:rPr>
        <w:footnoteRef/>
      </w:r>
      <w:r>
        <w:rPr/>
        <w:t xml:space="preserve"> </w:t>
      </w:r>
      <w:r>
        <w:rPr/>
        <w:t>Ustawa z dnia 19 lipca 2019 r. o realizowaniu usług społecznych przez centrum usług społecznych (Dz.U. 2019 r. poz. 1818 z późn.zm)</w:t>
      </w:r>
    </w:p>
  </w:footnote>
  <w:footnote w:id="3">
    <w:p>
      <w:pPr>
        <w:pStyle w:val="FootnoteText"/>
        <w:jc w:val="both"/>
        <w:rPr>
          <w:rFonts w:ascii="Arial" w:hAnsi="Arial" w:cs="Arial"/>
        </w:rPr>
      </w:pPr>
      <w:r>
        <w:rPr>
          <w:rStyle w:val="Znakiprzypiswdolnych"/>
        </w:rPr>
        <w:footnoteRef/>
      </w:r>
      <w:r>
        <w:rPr/>
        <w:t xml:space="preserve"> </w:t>
      </w:r>
      <w:r>
        <w:rPr>
          <w:rFonts w:cs="Arial" w:ascii="Arial" w:hAnsi="Arial"/>
        </w:rPr>
        <w:t>Patrz: Opis przedmiotu zamówienia - zadanie nr 2 projektu Centrum Usług Społecznych w Gminie Bychawa</w:t>
      </w:r>
    </w:p>
    <w:p>
      <w:pPr>
        <w:pStyle w:val="FootnoteText"/>
        <w:jc w:val="both"/>
        <w:rPr>
          <w:rFonts w:ascii="Arial" w:hAnsi="Arial" w:cs="Arial"/>
        </w:rPr>
      </w:pPr>
      <w:r>
        <w:rPr/>
      </w:r>
    </w:p>
  </w:footnote>
  <w:footnote w:id="4">
    <w:p>
      <w:pPr>
        <w:pStyle w:val="Normal"/>
        <w:spacing w:before="0" w:after="160"/>
        <w:jc w:val="both"/>
        <w:rPr>
          <w:rFonts w:ascii="Times New Roman" w:hAnsi="Times New Roman" w:eastAsia="Times New Roman" w:cs="Times New Roman"/>
          <w:kern w:val="0"/>
          <w:lang w:eastAsia="pl-PL"/>
          <w14:ligatures w14:val="none"/>
        </w:rPr>
      </w:pPr>
      <w:r>
        <w:rPr>
          <w:rStyle w:val="Znakiprzypiswdolnych"/>
        </w:rPr>
        <w:footnoteRef/>
      </w:r>
      <w:r>
        <w:rPr>
          <w:rFonts w:cs="Arial" w:ascii="Arial" w:hAnsi="Arial"/>
          <w:sz w:val="20"/>
          <w:szCs w:val="20"/>
        </w:rPr>
        <w:t xml:space="preserve"> </w:t>
      </w:r>
      <w:r>
        <w:rPr>
          <w:rFonts w:eastAsia="Times New Roman" w:cs="Arial" w:ascii="Arial" w:hAnsi="Arial"/>
          <w:kern w:val="0"/>
          <w:sz w:val="20"/>
          <w:szCs w:val="20"/>
          <w:lang w:eastAsia="pl-PL"/>
          <w14:ligatures w14:val="none"/>
        </w:rPr>
        <w:t>Konceptualizacja jest rozumiana jako proces tworzenia i precyzowania pojęć lub tworzenia myślowej całości, aby zrozumieć i badać problem. w badaniach społecznych jest to etap definiowania kluczowych pojęć, ich wzajemnych relacji oraz metod zbierania i analizy danych</w:t>
      </w:r>
      <w:r>
        <w:rPr>
          <w:rFonts w:eastAsia="Times New Roman" w:cs="Times New Roman" w:ascii="Times New Roman" w:hAnsi="Times New Roman"/>
          <w:kern w:val="0"/>
          <w:lang w:eastAsia="pl-PL"/>
          <w14:ligatures w14:val="none"/>
        </w:rPr>
        <w:t>.</w:t>
      </w:r>
    </w:p>
  </w:footnote>
  <w:footnote w:id="5">
    <w:p>
      <w:pPr>
        <w:pStyle w:val="FootnoteText"/>
        <w:jc w:val="both"/>
        <w:rPr>
          <w:rFonts w:ascii="Arial" w:hAnsi="Arial" w:cs="Arial"/>
        </w:rPr>
      </w:pPr>
      <w:r>
        <w:rPr>
          <w:rStyle w:val="Znakiprzypiswdolnych"/>
        </w:rPr>
        <w:footnoteRef/>
      </w:r>
      <w:r>
        <w:rPr>
          <w:rFonts w:cs="Arial" w:ascii="Arial" w:hAnsi="Arial"/>
        </w:rPr>
        <w:t xml:space="preserve"> </w:t>
      </w:r>
      <w:r>
        <w:rPr>
          <w:rFonts w:cs="Arial" w:ascii="Arial" w:hAnsi="Arial"/>
        </w:rPr>
        <w:t xml:space="preserve">M. Szulc (red.) </w:t>
      </w:r>
      <w:r>
        <w:rPr>
          <w:rFonts w:cs="Arial" w:ascii="Arial" w:hAnsi="Arial"/>
          <w:i/>
          <w:iCs/>
        </w:rPr>
        <w:t>Popularna Encyklopedia Powszechna</w:t>
      </w:r>
      <w:r>
        <w:rPr>
          <w:rFonts w:cs="Arial" w:ascii="Arial" w:hAnsi="Arial"/>
        </w:rPr>
        <w:t>, tom XX, Kraków 1998</w:t>
      </w:r>
    </w:p>
  </w:footnote>
  <w:footnote w:id="6">
    <w:p>
      <w:pPr>
        <w:pStyle w:val="FootnoteText"/>
        <w:jc w:val="both"/>
        <w:rPr>
          <w:rFonts w:ascii="Arial" w:hAnsi="Arial" w:cs="Arial"/>
        </w:rPr>
      </w:pPr>
      <w:r>
        <w:rPr>
          <w:rStyle w:val="Znakiprzypiswdolnych"/>
        </w:rPr>
        <w:footnoteRef/>
      </w:r>
      <w:r>
        <w:rPr>
          <w:rFonts w:cs="Arial" w:ascii="Arial" w:hAnsi="Arial"/>
        </w:rPr>
        <w:t xml:space="preserve"> </w:t>
      </w:r>
      <w:r>
        <w:rPr>
          <w:rFonts w:cs="Arial" w:ascii="Arial" w:hAnsi="Arial"/>
        </w:rPr>
        <w:t xml:space="preserve">Badania ankietowe - jedna z metod badań społecznych, w której do zbierania informacji od </w:t>
      </w:r>
      <w:hyperlink r:id="rId1" w:tooltip="Respondent">
        <w:r>
          <w:rPr>
            <w:rStyle w:val="Hyperlink"/>
            <w:rFonts w:cs="Arial" w:ascii="Arial" w:hAnsi="Arial"/>
          </w:rPr>
          <w:t>respondentów</w:t>
        </w:r>
      </w:hyperlink>
      <w:r>
        <w:rPr>
          <w:rFonts w:cs="Arial" w:ascii="Arial" w:hAnsi="Arial"/>
        </w:rPr>
        <w:t xml:space="preserve"> wykorzystuje się wystandaryzowany </w:t>
      </w:r>
      <w:hyperlink r:id="rId2" w:tooltip="Kwestionariusz">
        <w:r>
          <w:rPr>
            <w:rStyle w:val="Hyperlink"/>
            <w:rFonts w:cs="Arial" w:ascii="Arial" w:hAnsi="Arial"/>
          </w:rPr>
          <w:t>kwestionariusz</w:t>
        </w:r>
      </w:hyperlink>
      <w:r>
        <w:rPr>
          <w:rFonts w:cs="Arial" w:ascii="Arial" w:hAnsi="Arial"/>
        </w:rPr>
        <w:t>.</w:t>
      </w:r>
    </w:p>
  </w:footnote>
  <w:footnote w:id="7">
    <w:p>
      <w:pPr>
        <w:pStyle w:val="FootnoteText"/>
        <w:jc w:val="both"/>
        <w:rPr>
          <w:rFonts w:ascii="Arial" w:hAnsi="Arial" w:cs="Arial"/>
        </w:rPr>
      </w:pPr>
      <w:r>
        <w:rPr>
          <w:rStyle w:val="Znakiprzypiswdolnych"/>
        </w:rPr>
        <w:footnoteRef/>
      </w:r>
      <w:r>
        <w:rPr/>
        <w:t xml:space="preserve"> </w:t>
      </w:r>
      <w:r>
        <w:rPr>
          <w:rFonts w:cs="Arial" w:ascii="Arial" w:hAnsi="Arial"/>
        </w:rPr>
        <w:t xml:space="preserve">Ankieta dostępna pod linkiem </w:t>
      </w:r>
      <w:hyperlink r:id="rId3">
        <w:r>
          <w:rPr>
            <w:rStyle w:val="Hyperlink"/>
            <w:rFonts w:cs="Arial" w:ascii="Arial" w:hAnsi="Arial"/>
            <w:color w:themeColor="accent1" w:val="4A66AC"/>
          </w:rPr>
          <w:t>https://bychawa.pl/twoja-opinia-ma-znaczenie-wypelnij-nasza-ankiete-dotyczaca-opinii-i-potrzeb-mieszkancow-gminy-bychawa-w-zakresie-uslug-spolecznych/</w:t>
        </w:r>
      </w:hyperlink>
      <w:r>
        <w:rPr>
          <w:rFonts w:cs="Arial" w:ascii="Arial" w:hAnsi="Arial"/>
          <w:color w:themeColor="accent1" w:val="4A66AC"/>
        </w:rPr>
        <w:t>;</w:t>
      </w:r>
      <w:r>
        <w:rPr>
          <w:rFonts w:cs="Arial" w:ascii="Arial" w:hAnsi="Arial"/>
        </w:rPr>
        <w:t xml:space="preserve"> dostęp z dnia 15.09.2025r.</w:t>
      </w:r>
    </w:p>
    <w:p>
      <w:pPr>
        <w:pStyle w:val="FootnoteText"/>
        <w:jc w:val="both"/>
        <w:rPr/>
      </w:pPr>
      <w:r>
        <w:rPr/>
      </w:r>
    </w:p>
  </w:footnote>
  <w:footnote w:id="8">
    <w:p>
      <w:pPr>
        <w:pStyle w:val="FootnoteText"/>
        <w:jc w:val="both"/>
        <w:rPr>
          <w:rFonts w:ascii="Arial" w:hAnsi="Arial" w:cs="Arial"/>
          <w:color w:themeColor="accent1" w:val="4A66AC"/>
        </w:rPr>
      </w:pPr>
      <w:r>
        <w:rPr>
          <w:rStyle w:val="Znakiprzypiswdolnych"/>
        </w:rPr>
        <w:footnoteRef/>
      </w:r>
      <w:r>
        <w:rPr/>
        <w:t xml:space="preserve"> </w:t>
      </w:r>
      <w:hyperlink r:id="rId4">
        <w:r>
          <w:rPr>
            <w:rStyle w:val="Hyperlink"/>
            <w:rFonts w:cs="Arial" w:ascii="Arial" w:hAnsi="Arial"/>
            <w:color w:themeColor="accent1" w:val="4A66AC"/>
          </w:rPr>
          <w:t>http://www.bdl.gus.gov.pll</w:t>
        </w:r>
      </w:hyperlink>
      <w:r>
        <w:rPr>
          <w:rFonts w:cs="Arial" w:ascii="Arial" w:hAnsi="Arial"/>
          <w:color w:themeColor="accent1" w:val="4A66AC"/>
        </w:rPr>
        <w:t>, dostęp 15.09.2025r</w:t>
      </w:r>
    </w:p>
  </w:footnote>
  <w:footnote w:id="9">
    <w:p>
      <w:pPr>
        <w:pStyle w:val="Normal"/>
        <w:spacing w:lineRule="auto" w:line="360" w:before="0" w:after="240"/>
        <w:jc w:val="both"/>
        <w:rPr>
          <w:rFonts w:ascii="Arial" w:hAnsi="Arial" w:eastAsia="Times New Roman" w:cs="Arial"/>
          <w:kern w:val="0"/>
          <w:sz w:val="20"/>
          <w:szCs w:val="20"/>
          <w:lang w:eastAsia="pl-PL"/>
          <w14:ligatures w14:val="none"/>
        </w:rPr>
      </w:pPr>
      <w:r>
        <w:rPr>
          <w:rStyle w:val="Znakiprzypiswdolnych"/>
        </w:rPr>
        <w:footnoteRef/>
      </w:r>
      <w:r>
        <w:rPr>
          <w:rFonts w:cs="Arial" w:ascii="Arial" w:hAnsi="Arial"/>
          <w:color w:themeColor="accent1" w:val="4A66AC"/>
          <w:sz w:val="20"/>
          <w:szCs w:val="20"/>
        </w:rPr>
        <w:t xml:space="preserve"> </w:t>
      </w:r>
      <w:hyperlink r:id="rId5">
        <w:r>
          <w:rPr>
            <w:rStyle w:val="Hyperlink"/>
            <w:rFonts w:eastAsia="Times New Roman" w:cs="Arial" w:ascii="Arial" w:hAnsi="Arial"/>
            <w:color w:themeColor="accent1" w:val="4A66AC"/>
            <w:kern w:val="0"/>
            <w:sz w:val="20"/>
            <w:szCs w:val="20"/>
            <w:u w:val="none"/>
            <w:lang w:eastAsia="pl-PL"/>
            <w14:ligatures w14:val="none"/>
          </w:rPr>
          <w:t>https://www.polskawliczbach.pl/gmina_Bychawa - dostęp</w:t>
        </w:r>
      </w:hyperlink>
      <w:r>
        <w:rPr>
          <w:rFonts w:eastAsia="Times New Roman" w:cs="Arial" w:ascii="Arial" w:hAnsi="Arial"/>
          <w:kern w:val="0"/>
          <w:sz w:val="20"/>
          <w:szCs w:val="20"/>
          <w:lang w:eastAsia="pl-PL"/>
          <w14:ligatures w14:val="none"/>
        </w:rPr>
        <w:t xml:space="preserve"> z dnia 15.09.2025r</w:t>
      </w:r>
    </w:p>
    <w:p>
      <w:pPr>
        <w:pStyle w:val="FootnoteText"/>
        <w:jc w:val="both"/>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p>
    <w:pPr>
      <w:pStyle w:val="Header"/>
      <w:rPr/>
    </w:pPr>
    <w:r>
      <w:rPr/>
      <w:drawing>
        <wp:inline distT="0" distB="0" distL="0" distR="0">
          <wp:extent cx="5753100" cy="590550"/>
          <wp:effectExtent l="0" t="0" r="0" b="0"/>
          <wp:docPr id="12" name="Obraz 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2" descr="C:\Users\pikulaa\AppData\Local\Microsoft\Windows\INetCache\Content.Word\EFS kolor_ok_x4.jpg"/>
                  <pic:cNvPicPr>
                    <a:picLocks noChangeAspect="1" noChangeArrowheads="1"/>
                  </pic:cNvPicPr>
                </pic:nvPicPr>
                <pic:blipFill>
                  <a:blip r:embed="rId1"/>
                  <a:stretch>
                    <a:fillRect/>
                  </a:stretch>
                </pic:blipFill>
                <pic:spPr bwMode="auto">
                  <a:xfrm>
                    <a:off x="0" y="0"/>
                    <a:ext cx="5753100" cy="590550"/>
                  </a:xfrm>
                  <a:prstGeom prst="rect">
                    <a:avLst/>
                  </a:prstGeom>
                  <a:noFill/>
                </pic:spPr>
              </pic:pic>
            </a:graphicData>
          </a:graphic>
        </wp:inline>
      </w:drawing>
    </w:r>
  </w:p>
  <w:p>
    <w:pPr>
      <w:pStyle w:val="Header"/>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5753100" cy="590550"/>
          <wp:effectExtent l="0" t="0" r="0" b="0"/>
          <wp:docPr id="13" name="Obraz 1172397946"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172397946" descr="C:\Users\pikulaa\AppData\Local\Microsoft\Windows\INetCache\Content.Word\EFS kolor_ok_x4.jpg"/>
                  <pic:cNvPicPr>
                    <a:picLocks noChangeAspect="1" noChangeArrowheads="1"/>
                  </pic:cNvPicPr>
                </pic:nvPicPr>
                <pic:blipFill>
                  <a:blip r:embed="rId1"/>
                  <a:stretch>
                    <a:fillRect/>
                  </a:stretch>
                </pic:blipFill>
                <pic:spPr bwMode="auto">
                  <a:xfrm>
                    <a:off x="0" y="0"/>
                    <a:ext cx="5753100" cy="590550"/>
                  </a:xfrm>
                  <a:prstGeom prst="rect">
                    <a:avLst/>
                  </a:prstGeom>
                  <a:noFill/>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isLgl/>
      <w:numFmt w:val="decimal"/>
      <w:lvlText w:val="%1.%2."/>
      <w:lvlJc w:val="left"/>
      <w:pPr>
        <w:tabs>
          <w:tab w:val="num" w:pos="0"/>
        </w:tabs>
        <w:ind w:left="1080" w:hanging="720"/>
      </w:pPr>
      <w:rPr>
        <w:sz w:val="24"/>
        <w:szCs w:val="24"/>
        <w:rFonts w:ascii="Arial" w:hAnsi="Arial" w:cs="Arial"/>
        <w:color w:val="00204F"/>
      </w:rPr>
    </w:lvl>
    <w:lvl w:ilvl="2">
      <w:start w:val="1"/>
      <w:isLgl/>
      <w:numFmt w:val="decimal"/>
      <w:lvlText w:val="%1.%2.%3."/>
      <w:lvlJc w:val="left"/>
      <w:pPr>
        <w:tabs>
          <w:tab w:val="num" w:pos="0"/>
        </w:tabs>
        <w:ind w:left="1440" w:hanging="1080"/>
      </w:pPr>
      <w:rPr/>
    </w:lvl>
    <w:lvl w:ilvl="3">
      <w:start w:val="1"/>
      <w:isLgl/>
      <w:numFmt w:val="decimal"/>
      <w:lvlText w:val="%1.%2.%3.%4."/>
      <w:lvlJc w:val="left"/>
      <w:pPr>
        <w:tabs>
          <w:tab w:val="num" w:pos="0"/>
        </w:tabs>
        <w:ind w:left="1440" w:hanging="1080"/>
      </w:pPr>
      <w:rPr/>
    </w:lvl>
    <w:lvl w:ilvl="4">
      <w:start w:val="1"/>
      <w:isLgl/>
      <w:numFmt w:val="decimal"/>
      <w:lvlText w:val="%1.%2.%3.%4.%5."/>
      <w:lvlJc w:val="left"/>
      <w:pPr>
        <w:tabs>
          <w:tab w:val="num" w:pos="0"/>
        </w:tabs>
        <w:ind w:left="1800" w:hanging="1440"/>
      </w:pPr>
      <w:rPr/>
    </w:lvl>
    <w:lvl w:ilvl="5">
      <w:start w:val="1"/>
      <w:isLgl/>
      <w:numFmt w:val="decimal"/>
      <w:lvlText w:val="%1.%2.%3.%4.%5.%6."/>
      <w:lvlJc w:val="left"/>
      <w:pPr>
        <w:tabs>
          <w:tab w:val="num" w:pos="0"/>
        </w:tabs>
        <w:ind w:left="2160" w:hanging="1800"/>
      </w:pPr>
      <w:rPr/>
    </w:lvl>
    <w:lvl w:ilvl="6">
      <w:start w:val="1"/>
      <w:isLgl/>
      <w:numFmt w:val="decimal"/>
      <w:lvlText w:val="%1.%2.%3.%4.%5.%6.%7."/>
      <w:lvlJc w:val="left"/>
      <w:pPr>
        <w:tabs>
          <w:tab w:val="num" w:pos="0"/>
        </w:tabs>
        <w:ind w:left="2160" w:hanging="1800"/>
      </w:pPr>
      <w:rPr/>
    </w:lvl>
    <w:lvl w:ilvl="7">
      <w:start w:val="1"/>
      <w:isLgl/>
      <w:numFmt w:val="decimal"/>
      <w:lvlText w:val="%1.%2.%3.%4.%5.%6.%7.%8."/>
      <w:lvlJc w:val="left"/>
      <w:pPr>
        <w:tabs>
          <w:tab w:val="num" w:pos="0"/>
        </w:tabs>
        <w:ind w:left="2520" w:hanging="2160"/>
      </w:pPr>
      <w:rPr/>
    </w:lvl>
    <w:lvl w:ilvl="8">
      <w:start w:val="1"/>
      <w:isLgl/>
      <w:numFmt w:val="decimal"/>
      <w:lvlText w:val="%1.%2.%3.%4.%5.%6.%7.%8.%9."/>
      <w:lvlJc w:val="left"/>
      <w:pPr>
        <w:tabs>
          <w:tab w:val="num" w:pos="0"/>
        </w:tabs>
        <w:ind w:left="2880" w:hanging="2520"/>
      </w:pPr>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1068" w:hanging="360"/>
      </w:pPr>
      <w:rPr/>
    </w:lvl>
    <w:lvl w:ilvl="1">
      <w:start w:val="1"/>
      <w:numFmt w:val="lowerLetter"/>
      <w:lvlText w:val="%2."/>
      <w:lvlJc w:val="left"/>
      <w:pPr>
        <w:tabs>
          <w:tab w:val="num" w:pos="0"/>
        </w:tabs>
        <w:ind w:left="1788" w:hanging="360"/>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6">
    <w:lvl w:ilvl="0">
      <w:start w:val="1"/>
      <w:numFmt w:val="decimal"/>
      <w:lvlText w:val="%1)"/>
      <w:lvlJc w:val="left"/>
      <w:pPr>
        <w:tabs>
          <w:tab w:val="num" w:pos="0"/>
        </w:tabs>
        <w:ind w:left="720" w:hanging="360"/>
      </w:pPr>
      <w:rPr>
        <w:rFonts w:ascii="Aptos" w:hAnsi="Aptos" w:cs="" w:asciiTheme="minorHAnsi" w:cstheme="minorBidi" w:hAnsiTheme="minorHAns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rFonts w:ascii="Aptos" w:hAnsi="Aptos" w:cs="" w:asciiTheme="minorHAnsi" w:cstheme="minorBidi" w:hAnsiTheme="minorHAns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1068" w:hanging="360"/>
      </w:pPr>
      <w:rPr/>
    </w:lvl>
    <w:lvl w:ilvl="1">
      <w:start w:val="1"/>
      <w:numFmt w:val="lowerLetter"/>
      <w:lvlText w:val="%2."/>
      <w:lvlJc w:val="left"/>
      <w:pPr>
        <w:tabs>
          <w:tab w:val="num" w:pos="0"/>
        </w:tabs>
        <w:ind w:left="1788" w:hanging="360"/>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9">
    <w:lvl w:ilvl="0">
      <w:start w:val="1"/>
      <w:numFmt w:val="decimal"/>
      <w:lvlText w:val="%1)"/>
      <w:lvlJc w:val="left"/>
      <w:pPr>
        <w:tabs>
          <w:tab w:val="num" w:pos="0"/>
        </w:tabs>
        <w:ind w:left="1068" w:hanging="360"/>
      </w:pPr>
      <w:rPr/>
    </w:lvl>
    <w:lvl w:ilvl="1">
      <w:start w:val="1"/>
      <w:numFmt w:val="lowerLetter"/>
      <w:lvlText w:val="%2."/>
      <w:lvlJc w:val="left"/>
      <w:pPr>
        <w:tabs>
          <w:tab w:val="num" w:pos="0"/>
        </w:tabs>
        <w:ind w:left="1788" w:hanging="360"/>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10">
    <w:lvl w:ilvl="0">
      <w:start w:val="1"/>
      <w:numFmt w:val="decimal"/>
      <w:lvlText w:val="%1)"/>
      <w:lvlJc w:val="left"/>
      <w:pPr>
        <w:tabs>
          <w:tab w:val="num" w:pos="0"/>
        </w:tabs>
        <w:ind w:left="1068" w:hanging="360"/>
      </w:pPr>
      <w:rPr/>
    </w:lvl>
    <w:lvl w:ilvl="1">
      <w:start w:val="1"/>
      <w:numFmt w:val="lowerLetter"/>
      <w:lvlText w:val="%2."/>
      <w:lvlJc w:val="left"/>
      <w:pPr>
        <w:tabs>
          <w:tab w:val="num" w:pos="0"/>
        </w:tabs>
        <w:ind w:left="1788" w:hanging="360"/>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11">
    <w:lvl w:ilvl="0">
      <w:start w:val="1"/>
      <w:numFmt w:val="decimal"/>
      <w:lvlText w:val="%1)"/>
      <w:lvlJc w:val="left"/>
      <w:pPr>
        <w:tabs>
          <w:tab w:val="num" w:pos="720"/>
        </w:tabs>
        <w:ind w:left="720" w:hanging="360"/>
      </w:pPr>
      <w:rPr/>
    </w:lvl>
    <w:lvl w:ilvl="1">
      <w:start w:val="1"/>
      <w:numFmt w:val="bullet"/>
      <w:lvlText w:val=""/>
      <w:lvlJc w:val="left"/>
      <w:pPr>
        <w:tabs>
          <w:tab w:val="num" w:pos="0"/>
        </w:tabs>
        <w:ind w:left="1440" w:hanging="360"/>
      </w:pPr>
      <w:rPr>
        <w:rFonts w:ascii="Symbol" w:hAnsi="Symbol" w:cs="Symbol" w:hint="default"/>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
    <w:lvl w:ilvl="0">
      <w:start w:val="1"/>
      <w:numFmt w:val="decimal"/>
      <w:lvlText w:val="%1)"/>
      <w:lvlJc w:val="left"/>
      <w:pPr>
        <w:tabs>
          <w:tab w:val="num" w:pos="0"/>
        </w:tabs>
        <w:ind w:left="1440" w:hanging="360"/>
      </w:pPr>
      <w:rPr>
        <w:rFonts w:ascii="Arial" w:hAnsi="Arial" w:eastAsia="Times New Roman" w:cs="Arial"/>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13">
    <w:lvl w:ilvl="0">
      <w:start w:val="1"/>
      <w:numFmt w:val="decimal"/>
      <w:lvlText w:val="%1)"/>
      <w:lvlJc w:val="left"/>
      <w:pPr>
        <w:tabs>
          <w:tab w:val="num" w:pos="0"/>
        </w:tabs>
        <w:ind w:left="1068" w:hanging="360"/>
      </w:pPr>
      <w:rPr/>
    </w:lvl>
    <w:lvl w:ilvl="1">
      <w:start w:val="1"/>
      <w:numFmt w:val="lowerLetter"/>
      <w:lvlText w:val="%2."/>
      <w:lvlJc w:val="left"/>
      <w:pPr>
        <w:tabs>
          <w:tab w:val="num" w:pos="0"/>
        </w:tabs>
        <w:ind w:left="1788" w:hanging="360"/>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14">
    <w:lvl w:ilvl="0">
      <w:start w:val="1"/>
      <w:numFmt w:val="decimal"/>
      <w:lvlText w:val="%1)"/>
      <w:lvlJc w:val="left"/>
      <w:pPr>
        <w:tabs>
          <w:tab w:val="num" w:pos="0"/>
        </w:tabs>
        <w:ind w:left="785" w:hanging="360"/>
      </w:pPr>
      <w:rPr/>
    </w:lvl>
    <w:lvl w:ilvl="1">
      <w:start w:val="1"/>
      <w:numFmt w:val="lowerLetter"/>
      <w:lvlText w:val="%2."/>
      <w:lvlJc w:val="left"/>
      <w:pPr>
        <w:tabs>
          <w:tab w:val="num" w:pos="0"/>
        </w:tabs>
        <w:ind w:left="1505" w:hanging="360"/>
      </w:pPr>
      <w:rPr/>
    </w:lvl>
    <w:lvl w:ilvl="2">
      <w:start w:val="1"/>
      <w:numFmt w:val="lowerRoman"/>
      <w:lvlText w:val="%3."/>
      <w:lvlJc w:val="right"/>
      <w:pPr>
        <w:tabs>
          <w:tab w:val="num" w:pos="0"/>
        </w:tabs>
        <w:ind w:left="2225" w:hanging="180"/>
      </w:pPr>
      <w:rPr/>
    </w:lvl>
    <w:lvl w:ilvl="3">
      <w:start w:val="1"/>
      <w:numFmt w:val="decimal"/>
      <w:lvlText w:val="%4."/>
      <w:lvlJc w:val="left"/>
      <w:pPr>
        <w:tabs>
          <w:tab w:val="num" w:pos="0"/>
        </w:tabs>
        <w:ind w:left="2945" w:hanging="360"/>
      </w:pPr>
      <w:rPr/>
    </w:lvl>
    <w:lvl w:ilvl="4">
      <w:start w:val="1"/>
      <w:numFmt w:val="lowerLetter"/>
      <w:lvlText w:val="%5."/>
      <w:lvlJc w:val="left"/>
      <w:pPr>
        <w:tabs>
          <w:tab w:val="num" w:pos="0"/>
        </w:tabs>
        <w:ind w:left="3665" w:hanging="360"/>
      </w:pPr>
      <w:rPr/>
    </w:lvl>
    <w:lvl w:ilvl="5">
      <w:start w:val="1"/>
      <w:numFmt w:val="lowerRoman"/>
      <w:lvlText w:val="%6."/>
      <w:lvlJc w:val="right"/>
      <w:pPr>
        <w:tabs>
          <w:tab w:val="num" w:pos="0"/>
        </w:tabs>
        <w:ind w:left="4385" w:hanging="180"/>
      </w:pPr>
      <w:rPr/>
    </w:lvl>
    <w:lvl w:ilvl="6">
      <w:start w:val="1"/>
      <w:numFmt w:val="decimal"/>
      <w:lvlText w:val="%7."/>
      <w:lvlJc w:val="left"/>
      <w:pPr>
        <w:tabs>
          <w:tab w:val="num" w:pos="0"/>
        </w:tabs>
        <w:ind w:left="5105" w:hanging="360"/>
      </w:pPr>
      <w:rPr/>
    </w:lvl>
    <w:lvl w:ilvl="7">
      <w:start w:val="1"/>
      <w:numFmt w:val="lowerLetter"/>
      <w:lvlText w:val="%8."/>
      <w:lvlJc w:val="left"/>
      <w:pPr>
        <w:tabs>
          <w:tab w:val="num" w:pos="0"/>
        </w:tabs>
        <w:ind w:left="5825" w:hanging="360"/>
      </w:pPr>
      <w:rPr/>
    </w:lvl>
    <w:lvl w:ilvl="8">
      <w:start w:val="1"/>
      <w:numFmt w:val="lowerRoman"/>
      <w:lvlText w:val="%9."/>
      <w:lvlJc w:val="right"/>
      <w:pPr>
        <w:tabs>
          <w:tab w:val="num" w:pos="0"/>
        </w:tabs>
        <w:ind w:left="6545" w:hanging="180"/>
      </w:pPr>
      <w:rPr/>
    </w:lvl>
  </w:abstractNum>
  <w:abstractNum w:abstractNumId="1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1"/>
      <w:numFmt w:val="decimal"/>
      <w:lvlText w:val="%1)"/>
      <w:lvlJc w:val="left"/>
      <w:pPr>
        <w:tabs>
          <w:tab w:val="num" w:pos="0"/>
        </w:tabs>
        <w:ind w:left="644" w:hanging="360"/>
      </w:pPr>
      <w:rPr/>
    </w:lvl>
    <w:lvl w:ilvl="1">
      <w:start w:val="1"/>
      <w:numFmt w:val="lowerLetter"/>
      <w:lvlText w:val="%2."/>
      <w:lvlJc w:val="left"/>
      <w:pPr>
        <w:tabs>
          <w:tab w:val="num" w:pos="0"/>
        </w:tabs>
        <w:ind w:left="1364" w:hanging="360"/>
      </w:pPr>
      <w:rPr/>
    </w:lvl>
    <w:lvl w:ilvl="2">
      <w:start w:val="1"/>
      <w:numFmt w:val="lowerRoman"/>
      <w:lvlText w:val="%3."/>
      <w:lvlJc w:val="right"/>
      <w:pPr>
        <w:tabs>
          <w:tab w:val="num" w:pos="0"/>
        </w:tabs>
        <w:ind w:left="2084" w:hanging="180"/>
      </w:pPr>
      <w:rPr/>
    </w:lvl>
    <w:lvl w:ilvl="3">
      <w:start w:val="1"/>
      <w:numFmt w:val="decimal"/>
      <w:lvlText w:val="%4."/>
      <w:lvlJc w:val="left"/>
      <w:pPr>
        <w:tabs>
          <w:tab w:val="num" w:pos="0"/>
        </w:tabs>
        <w:ind w:left="2804" w:hanging="360"/>
      </w:pPr>
      <w:rPr/>
    </w:lvl>
    <w:lvl w:ilvl="4">
      <w:start w:val="1"/>
      <w:numFmt w:val="lowerLetter"/>
      <w:lvlText w:val="%5."/>
      <w:lvlJc w:val="left"/>
      <w:pPr>
        <w:tabs>
          <w:tab w:val="num" w:pos="0"/>
        </w:tabs>
        <w:ind w:left="3524" w:hanging="360"/>
      </w:pPr>
      <w:rPr/>
    </w:lvl>
    <w:lvl w:ilvl="5">
      <w:start w:val="1"/>
      <w:numFmt w:val="lowerRoman"/>
      <w:lvlText w:val="%6."/>
      <w:lvlJc w:val="right"/>
      <w:pPr>
        <w:tabs>
          <w:tab w:val="num" w:pos="0"/>
        </w:tabs>
        <w:ind w:left="4244" w:hanging="180"/>
      </w:pPr>
      <w:rPr/>
    </w:lvl>
    <w:lvl w:ilvl="6">
      <w:start w:val="1"/>
      <w:numFmt w:val="decimal"/>
      <w:lvlText w:val="%7."/>
      <w:lvlJc w:val="left"/>
      <w:pPr>
        <w:tabs>
          <w:tab w:val="num" w:pos="0"/>
        </w:tabs>
        <w:ind w:left="4964" w:hanging="360"/>
      </w:pPr>
      <w:rPr/>
    </w:lvl>
    <w:lvl w:ilvl="7">
      <w:start w:val="1"/>
      <w:numFmt w:val="lowerLetter"/>
      <w:lvlText w:val="%8."/>
      <w:lvlJc w:val="left"/>
      <w:pPr>
        <w:tabs>
          <w:tab w:val="num" w:pos="0"/>
        </w:tabs>
        <w:ind w:left="5684" w:hanging="360"/>
      </w:pPr>
      <w:rPr/>
    </w:lvl>
    <w:lvl w:ilvl="8">
      <w:start w:val="1"/>
      <w:numFmt w:val="lowerRoman"/>
      <w:lvlText w:val="%9."/>
      <w:lvlJc w:val="right"/>
      <w:pPr>
        <w:tabs>
          <w:tab w:val="num" w:pos="0"/>
        </w:tabs>
        <w:ind w:left="6404" w:hanging="180"/>
      </w:pPr>
      <w:rPr/>
    </w:lvl>
  </w:abstractNum>
  <w:abstractNum w:abstractNumId="2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1"/>
      <w:numFmt w:val="decimal"/>
      <w:lvlText w:val="%1)"/>
      <w:lvlJc w:val="left"/>
      <w:pPr>
        <w:tabs>
          <w:tab w:val="num" w:pos="0"/>
        </w:tabs>
        <w:ind w:left="785" w:hanging="360"/>
      </w:pPr>
      <w:rPr/>
    </w:lvl>
    <w:lvl w:ilvl="1">
      <w:start w:val="1"/>
      <w:numFmt w:val="lowerLetter"/>
      <w:lvlText w:val="%2."/>
      <w:lvlJc w:val="left"/>
      <w:pPr>
        <w:tabs>
          <w:tab w:val="num" w:pos="0"/>
        </w:tabs>
        <w:ind w:left="1505" w:hanging="360"/>
      </w:pPr>
      <w:rPr/>
    </w:lvl>
    <w:lvl w:ilvl="2">
      <w:start w:val="1"/>
      <w:numFmt w:val="lowerRoman"/>
      <w:lvlText w:val="%3."/>
      <w:lvlJc w:val="right"/>
      <w:pPr>
        <w:tabs>
          <w:tab w:val="num" w:pos="0"/>
        </w:tabs>
        <w:ind w:left="2225" w:hanging="180"/>
      </w:pPr>
      <w:rPr/>
    </w:lvl>
    <w:lvl w:ilvl="3">
      <w:start w:val="1"/>
      <w:numFmt w:val="decimal"/>
      <w:lvlText w:val="%4."/>
      <w:lvlJc w:val="left"/>
      <w:pPr>
        <w:tabs>
          <w:tab w:val="num" w:pos="0"/>
        </w:tabs>
        <w:ind w:left="2945" w:hanging="360"/>
      </w:pPr>
      <w:rPr/>
    </w:lvl>
    <w:lvl w:ilvl="4">
      <w:start w:val="1"/>
      <w:numFmt w:val="lowerLetter"/>
      <w:lvlText w:val="%5."/>
      <w:lvlJc w:val="left"/>
      <w:pPr>
        <w:tabs>
          <w:tab w:val="num" w:pos="0"/>
        </w:tabs>
        <w:ind w:left="3665" w:hanging="360"/>
      </w:pPr>
      <w:rPr/>
    </w:lvl>
    <w:lvl w:ilvl="5">
      <w:start w:val="1"/>
      <w:numFmt w:val="lowerRoman"/>
      <w:lvlText w:val="%6."/>
      <w:lvlJc w:val="right"/>
      <w:pPr>
        <w:tabs>
          <w:tab w:val="num" w:pos="0"/>
        </w:tabs>
        <w:ind w:left="4385" w:hanging="180"/>
      </w:pPr>
      <w:rPr/>
    </w:lvl>
    <w:lvl w:ilvl="6">
      <w:start w:val="1"/>
      <w:numFmt w:val="decimal"/>
      <w:lvlText w:val="%7."/>
      <w:lvlJc w:val="left"/>
      <w:pPr>
        <w:tabs>
          <w:tab w:val="num" w:pos="0"/>
        </w:tabs>
        <w:ind w:left="5105" w:hanging="360"/>
      </w:pPr>
      <w:rPr/>
    </w:lvl>
    <w:lvl w:ilvl="7">
      <w:start w:val="1"/>
      <w:numFmt w:val="lowerLetter"/>
      <w:lvlText w:val="%8."/>
      <w:lvlJc w:val="left"/>
      <w:pPr>
        <w:tabs>
          <w:tab w:val="num" w:pos="0"/>
        </w:tabs>
        <w:ind w:left="5825" w:hanging="360"/>
      </w:pPr>
      <w:rPr/>
    </w:lvl>
    <w:lvl w:ilvl="8">
      <w:start w:val="1"/>
      <w:numFmt w:val="lowerRoman"/>
      <w:lvlText w:val="%9."/>
      <w:lvlJc w:val="right"/>
      <w:pPr>
        <w:tabs>
          <w:tab w:val="num" w:pos="0"/>
        </w:tabs>
        <w:ind w:left="6545" w:hanging="180"/>
      </w:pPr>
      <w:rPr/>
    </w:lvl>
  </w:abstractNum>
  <w:abstractNum w:abstractNumId="22">
    <w:lvl w:ilvl="0">
      <w:start w:val="1"/>
      <w:numFmt w:val="decimal"/>
      <w:lvlText w:val="%1)"/>
      <w:lvlJc w:val="left"/>
      <w:pPr>
        <w:tabs>
          <w:tab w:val="num" w:pos="0"/>
        </w:tabs>
        <w:ind w:left="1068" w:hanging="360"/>
      </w:pPr>
      <w:rPr>
        <w:rFonts w:ascii="Arial" w:hAnsi="Arial" w:eastAsia="Times New Roman" w:cs="Arial"/>
      </w:rPr>
    </w:lvl>
    <w:lvl w:ilvl="1">
      <w:start w:val="1"/>
      <w:numFmt w:val="decimal"/>
      <w:lvlText w:val="%2)"/>
      <w:lvlJc w:val="left"/>
      <w:pPr>
        <w:tabs>
          <w:tab w:val="num" w:pos="0"/>
        </w:tabs>
        <w:ind w:left="1788" w:hanging="360"/>
      </w:pPr>
      <w:rPr>
        <w:rFonts w:ascii="Arial" w:hAnsi="Arial" w:eastAsia="Times New Roman" w:cs="Arial"/>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2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decimal"/>
      <w:lvlText w:val="%1)"/>
      <w:lvlJc w:val="left"/>
      <w:pPr>
        <w:tabs>
          <w:tab w:val="num" w:pos="0"/>
        </w:tabs>
        <w:ind w:left="1068" w:hanging="360"/>
      </w:pPr>
      <w:rPr>
        <w:rFonts w:ascii="Arial" w:hAnsi="Arial" w:eastAsia="Times New Roman" w:cs="Arial"/>
      </w:rPr>
    </w:lvl>
    <w:lvl w:ilvl="1">
      <w:start w:val="1"/>
      <w:numFmt w:val="decimal"/>
      <w:lvlText w:val="%2)"/>
      <w:lvlJc w:val="left"/>
      <w:pPr>
        <w:tabs>
          <w:tab w:val="num" w:pos="0"/>
        </w:tabs>
        <w:ind w:left="1788" w:hanging="360"/>
      </w:pPr>
      <w:rPr>
        <w:rFonts w:ascii="Arial" w:hAnsi="Arial" w:eastAsia="Times New Roman" w:cs="Arial"/>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25">
    <w:lvl w:ilvl="0">
      <w:start w:val="1"/>
      <w:numFmt w:val="decimal"/>
      <w:lvlText w:val="%1)"/>
      <w:lvlJc w:val="left"/>
      <w:pPr>
        <w:tabs>
          <w:tab w:val="num" w:pos="1430"/>
        </w:tabs>
        <w:ind w:left="1430" w:hanging="360"/>
      </w:pPr>
      <w:rPr/>
    </w:lvl>
    <w:lvl w:ilvl="1">
      <w:start w:val="1"/>
      <w:numFmt w:val="decimal"/>
      <w:lvlText w:val="%2."/>
      <w:lvlJc w:val="left"/>
      <w:pPr>
        <w:tabs>
          <w:tab w:val="num" w:pos="2150"/>
        </w:tabs>
        <w:ind w:left="2150" w:hanging="360"/>
      </w:pPr>
      <w:rPr/>
    </w:lvl>
    <w:lvl w:ilvl="2">
      <w:start w:val="1"/>
      <w:numFmt w:val="decimal"/>
      <w:lvlText w:val="%3."/>
      <w:lvlJc w:val="left"/>
      <w:pPr>
        <w:tabs>
          <w:tab w:val="num" w:pos="2870"/>
        </w:tabs>
        <w:ind w:left="2870" w:hanging="360"/>
      </w:pPr>
      <w:rPr/>
    </w:lvl>
    <w:lvl w:ilvl="3">
      <w:start w:val="1"/>
      <w:numFmt w:val="decimal"/>
      <w:lvlText w:val="%4."/>
      <w:lvlJc w:val="left"/>
      <w:pPr>
        <w:tabs>
          <w:tab w:val="num" w:pos="3590"/>
        </w:tabs>
        <w:ind w:left="3590" w:hanging="360"/>
      </w:pPr>
      <w:rPr/>
    </w:lvl>
    <w:lvl w:ilvl="4">
      <w:start w:val="1"/>
      <w:numFmt w:val="decimal"/>
      <w:lvlText w:val="%5."/>
      <w:lvlJc w:val="left"/>
      <w:pPr>
        <w:tabs>
          <w:tab w:val="num" w:pos="4310"/>
        </w:tabs>
        <w:ind w:left="4310" w:hanging="360"/>
      </w:pPr>
      <w:rPr/>
    </w:lvl>
    <w:lvl w:ilvl="5">
      <w:start w:val="1"/>
      <w:numFmt w:val="decimal"/>
      <w:lvlText w:val="%6."/>
      <w:lvlJc w:val="left"/>
      <w:pPr>
        <w:tabs>
          <w:tab w:val="num" w:pos="5030"/>
        </w:tabs>
        <w:ind w:left="5030" w:hanging="360"/>
      </w:pPr>
      <w:rPr/>
    </w:lvl>
    <w:lvl w:ilvl="6">
      <w:start w:val="1"/>
      <w:numFmt w:val="decimal"/>
      <w:lvlText w:val="%7."/>
      <w:lvlJc w:val="left"/>
      <w:pPr>
        <w:tabs>
          <w:tab w:val="num" w:pos="5750"/>
        </w:tabs>
        <w:ind w:left="5750" w:hanging="360"/>
      </w:pPr>
      <w:rPr/>
    </w:lvl>
    <w:lvl w:ilvl="7">
      <w:start w:val="1"/>
      <w:numFmt w:val="decimal"/>
      <w:lvlText w:val="%8."/>
      <w:lvlJc w:val="left"/>
      <w:pPr>
        <w:tabs>
          <w:tab w:val="num" w:pos="6470"/>
        </w:tabs>
        <w:ind w:left="6470" w:hanging="360"/>
      </w:pPr>
      <w:rPr/>
    </w:lvl>
    <w:lvl w:ilvl="8">
      <w:start w:val="1"/>
      <w:numFmt w:val="decimal"/>
      <w:lvlText w:val="%9."/>
      <w:lvlJc w:val="left"/>
      <w:pPr>
        <w:tabs>
          <w:tab w:val="num" w:pos="7190"/>
        </w:tabs>
        <w:ind w:left="7190" w:hanging="360"/>
      </w:pPr>
      <w:rPr/>
    </w:lvl>
  </w:abstractNum>
  <w:abstractNum w:abstractNumId="26">
    <w:lvl w:ilvl="0">
      <w:start w:val="1"/>
      <w:numFmt w:val="bullet"/>
      <w:lvlText w:val=""/>
      <w:lvlJc w:val="left"/>
      <w:pPr>
        <w:tabs>
          <w:tab w:val="num" w:pos="1428"/>
        </w:tabs>
        <w:ind w:left="1428" w:hanging="360"/>
      </w:pPr>
      <w:rPr>
        <w:rFonts w:ascii="Symbol" w:hAnsi="Symbol" w:cs="Symbol" w:hint="default"/>
        <w:sz w:val="20"/>
      </w:rPr>
    </w:lvl>
    <w:lvl w:ilvl="1">
      <w:start w:val="1"/>
      <w:numFmt w:val="bullet"/>
      <w:lvlText w:val="o"/>
      <w:lvlJc w:val="left"/>
      <w:pPr>
        <w:tabs>
          <w:tab w:val="num" w:pos="2148"/>
        </w:tabs>
        <w:ind w:left="2148" w:hanging="360"/>
      </w:pPr>
      <w:rPr>
        <w:rFonts w:ascii="Courier New" w:hAnsi="Courier New" w:cs="Courier New" w:hint="default"/>
        <w:sz w:val="20"/>
      </w:rPr>
    </w:lvl>
    <w:lvl w:ilvl="2">
      <w:start w:val="1"/>
      <w:numFmt w:val="bullet"/>
      <w:lvlText w:val=""/>
      <w:lvlJc w:val="left"/>
      <w:pPr>
        <w:tabs>
          <w:tab w:val="num" w:pos="2868"/>
        </w:tabs>
        <w:ind w:left="2868" w:hanging="360"/>
      </w:pPr>
      <w:rPr>
        <w:rFonts w:ascii="Wingdings" w:hAnsi="Wingdings" w:cs="Wingdings" w:hint="default"/>
        <w:sz w:val="20"/>
      </w:rPr>
    </w:lvl>
    <w:lvl w:ilvl="3">
      <w:start w:val="1"/>
      <w:numFmt w:val="bullet"/>
      <w:lvlText w:val=""/>
      <w:lvlJc w:val="left"/>
      <w:pPr>
        <w:tabs>
          <w:tab w:val="num" w:pos="3588"/>
        </w:tabs>
        <w:ind w:left="3588" w:hanging="360"/>
      </w:pPr>
      <w:rPr>
        <w:rFonts w:ascii="Wingdings" w:hAnsi="Wingdings" w:cs="Wingdings" w:hint="default"/>
        <w:sz w:val="20"/>
      </w:rPr>
    </w:lvl>
    <w:lvl w:ilvl="4">
      <w:start w:val="1"/>
      <w:numFmt w:val="bullet"/>
      <w:lvlText w:val=""/>
      <w:lvlJc w:val="left"/>
      <w:pPr>
        <w:tabs>
          <w:tab w:val="num" w:pos="4308"/>
        </w:tabs>
        <w:ind w:left="4308" w:hanging="360"/>
      </w:pPr>
      <w:rPr>
        <w:rFonts w:ascii="Wingdings" w:hAnsi="Wingdings" w:cs="Wingdings" w:hint="default"/>
        <w:sz w:val="20"/>
      </w:rPr>
    </w:lvl>
    <w:lvl w:ilvl="5">
      <w:start w:val="1"/>
      <w:numFmt w:val="bullet"/>
      <w:lvlText w:val=""/>
      <w:lvlJc w:val="left"/>
      <w:pPr>
        <w:tabs>
          <w:tab w:val="num" w:pos="5028"/>
        </w:tabs>
        <w:ind w:left="5028" w:hanging="360"/>
      </w:pPr>
      <w:rPr>
        <w:rFonts w:ascii="Wingdings" w:hAnsi="Wingdings" w:cs="Wingdings" w:hint="default"/>
        <w:sz w:val="20"/>
      </w:rPr>
    </w:lvl>
    <w:lvl w:ilvl="6">
      <w:start w:val="1"/>
      <w:numFmt w:val="bullet"/>
      <w:lvlText w:val=""/>
      <w:lvlJc w:val="left"/>
      <w:pPr>
        <w:tabs>
          <w:tab w:val="num" w:pos="5748"/>
        </w:tabs>
        <w:ind w:left="5748" w:hanging="360"/>
      </w:pPr>
      <w:rPr>
        <w:rFonts w:ascii="Wingdings" w:hAnsi="Wingdings" w:cs="Wingdings" w:hint="default"/>
        <w:sz w:val="20"/>
      </w:rPr>
    </w:lvl>
    <w:lvl w:ilvl="7">
      <w:start w:val="1"/>
      <w:numFmt w:val="bullet"/>
      <w:lvlText w:val=""/>
      <w:lvlJc w:val="left"/>
      <w:pPr>
        <w:tabs>
          <w:tab w:val="num" w:pos="6468"/>
        </w:tabs>
        <w:ind w:left="6468" w:hanging="360"/>
      </w:pPr>
      <w:rPr>
        <w:rFonts w:ascii="Wingdings" w:hAnsi="Wingdings" w:cs="Wingdings" w:hint="default"/>
        <w:sz w:val="20"/>
      </w:rPr>
    </w:lvl>
    <w:lvl w:ilvl="8">
      <w:start w:val="1"/>
      <w:numFmt w:val="bullet"/>
      <w:lvlText w:val=""/>
      <w:lvlJc w:val="left"/>
      <w:pPr>
        <w:tabs>
          <w:tab w:val="num" w:pos="7188"/>
        </w:tabs>
        <w:ind w:left="7188" w:hanging="360"/>
      </w:pPr>
      <w:rPr>
        <w:rFonts w:ascii="Wingdings" w:hAnsi="Wingdings" w:cs="Wingdings" w:hint="default"/>
        <w:sz w:val="20"/>
      </w:rPr>
    </w:lvl>
  </w:abstractNum>
  <w:abstractNum w:abstractNumId="27">
    <w:lvl w:ilvl="0">
      <w:start w:val="1"/>
      <w:numFmt w:val="bullet"/>
      <w:lvlText w:val=""/>
      <w:lvlJc w:val="left"/>
      <w:pPr>
        <w:tabs>
          <w:tab w:val="num" w:pos="1428"/>
        </w:tabs>
        <w:ind w:left="1428" w:hanging="360"/>
      </w:pPr>
      <w:rPr>
        <w:rFonts w:ascii="Symbol" w:hAnsi="Symbol" w:cs="Symbol" w:hint="default"/>
        <w:sz w:val="20"/>
      </w:rPr>
    </w:lvl>
    <w:lvl w:ilvl="1">
      <w:start w:val="1"/>
      <w:numFmt w:val="bullet"/>
      <w:lvlText w:val="o"/>
      <w:lvlJc w:val="left"/>
      <w:pPr>
        <w:tabs>
          <w:tab w:val="num" w:pos="2148"/>
        </w:tabs>
        <w:ind w:left="2148" w:hanging="360"/>
      </w:pPr>
      <w:rPr>
        <w:rFonts w:ascii="Courier New" w:hAnsi="Courier New" w:cs="Courier New" w:hint="default"/>
        <w:sz w:val="20"/>
      </w:rPr>
    </w:lvl>
    <w:lvl w:ilvl="2">
      <w:start w:val="1"/>
      <w:numFmt w:val="bullet"/>
      <w:lvlText w:val=""/>
      <w:lvlJc w:val="left"/>
      <w:pPr>
        <w:tabs>
          <w:tab w:val="num" w:pos="2868"/>
        </w:tabs>
        <w:ind w:left="2868" w:hanging="360"/>
      </w:pPr>
      <w:rPr>
        <w:rFonts w:ascii="Wingdings" w:hAnsi="Wingdings" w:cs="Wingdings" w:hint="default"/>
        <w:sz w:val="20"/>
      </w:rPr>
    </w:lvl>
    <w:lvl w:ilvl="3">
      <w:start w:val="1"/>
      <w:numFmt w:val="bullet"/>
      <w:lvlText w:val=""/>
      <w:lvlJc w:val="left"/>
      <w:pPr>
        <w:tabs>
          <w:tab w:val="num" w:pos="3588"/>
        </w:tabs>
        <w:ind w:left="3588" w:hanging="360"/>
      </w:pPr>
      <w:rPr>
        <w:rFonts w:ascii="Wingdings" w:hAnsi="Wingdings" w:cs="Wingdings" w:hint="default"/>
        <w:sz w:val="20"/>
      </w:rPr>
    </w:lvl>
    <w:lvl w:ilvl="4">
      <w:start w:val="1"/>
      <w:numFmt w:val="bullet"/>
      <w:lvlText w:val=""/>
      <w:lvlJc w:val="left"/>
      <w:pPr>
        <w:tabs>
          <w:tab w:val="num" w:pos="4308"/>
        </w:tabs>
        <w:ind w:left="4308" w:hanging="360"/>
      </w:pPr>
      <w:rPr>
        <w:rFonts w:ascii="Wingdings" w:hAnsi="Wingdings" w:cs="Wingdings" w:hint="default"/>
        <w:sz w:val="20"/>
      </w:rPr>
    </w:lvl>
    <w:lvl w:ilvl="5">
      <w:start w:val="1"/>
      <w:numFmt w:val="bullet"/>
      <w:lvlText w:val=""/>
      <w:lvlJc w:val="left"/>
      <w:pPr>
        <w:tabs>
          <w:tab w:val="num" w:pos="5028"/>
        </w:tabs>
        <w:ind w:left="5028" w:hanging="360"/>
      </w:pPr>
      <w:rPr>
        <w:rFonts w:ascii="Wingdings" w:hAnsi="Wingdings" w:cs="Wingdings" w:hint="default"/>
        <w:sz w:val="20"/>
      </w:rPr>
    </w:lvl>
    <w:lvl w:ilvl="6">
      <w:start w:val="1"/>
      <w:numFmt w:val="bullet"/>
      <w:lvlText w:val=""/>
      <w:lvlJc w:val="left"/>
      <w:pPr>
        <w:tabs>
          <w:tab w:val="num" w:pos="5748"/>
        </w:tabs>
        <w:ind w:left="5748" w:hanging="360"/>
      </w:pPr>
      <w:rPr>
        <w:rFonts w:ascii="Wingdings" w:hAnsi="Wingdings" w:cs="Wingdings" w:hint="default"/>
        <w:sz w:val="20"/>
      </w:rPr>
    </w:lvl>
    <w:lvl w:ilvl="7">
      <w:start w:val="1"/>
      <w:numFmt w:val="bullet"/>
      <w:lvlText w:val=""/>
      <w:lvlJc w:val="left"/>
      <w:pPr>
        <w:tabs>
          <w:tab w:val="num" w:pos="6468"/>
        </w:tabs>
        <w:ind w:left="6468" w:hanging="360"/>
      </w:pPr>
      <w:rPr>
        <w:rFonts w:ascii="Wingdings" w:hAnsi="Wingdings" w:cs="Wingdings" w:hint="default"/>
        <w:sz w:val="20"/>
      </w:rPr>
    </w:lvl>
    <w:lvl w:ilvl="8">
      <w:start w:val="1"/>
      <w:numFmt w:val="bullet"/>
      <w:lvlText w:val=""/>
      <w:lvlJc w:val="left"/>
      <w:pPr>
        <w:tabs>
          <w:tab w:val="num" w:pos="7188"/>
        </w:tabs>
        <w:ind w:left="7188" w:hanging="360"/>
      </w:pPr>
      <w:rPr>
        <w:rFonts w:ascii="Wingdings" w:hAnsi="Wingdings" w:cs="Wingdings" w:hint="default"/>
        <w:sz w:val="20"/>
      </w:rPr>
    </w:lvl>
  </w:abstractNum>
  <w:abstractNum w:abstractNumId="28">
    <w:lvl w:ilvl="0">
      <w:start w:val="1"/>
      <w:numFmt w:val="bullet"/>
      <w:lvlText w:val=""/>
      <w:lvlJc w:val="left"/>
      <w:pPr>
        <w:tabs>
          <w:tab w:val="num" w:pos="1428"/>
        </w:tabs>
        <w:ind w:left="1428" w:hanging="360"/>
      </w:pPr>
      <w:rPr>
        <w:rFonts w:ascii="Symbol" w:hAnsi="Symbol" w:cs="Symbol" w:hint="default"/>
        <w:sz w:val="20"/>
      </w:rPr>
    </w:lvl>
    <w:lvl w:ilvl="1">
      <w:start w:val="1"/>
      <w:numFmt w:val="bullet"/>
      <w:lvlText w:val="o"/>
      <w:lvlJc w:val="left"/>
      <w:pPr>
        <w:tabs>
          <w:tab w:val="num" w:pos="2148"/>
        </w:tabs>
        <w:ind w:left="2148" w:hanging="360"/>
      </w:pPr>
      <w:rPr>
        <w:rFonts w:ascii="Courier New" w:hAnsi="Courier New" w:cs="Courier New" w:hint="default"/>
        <w:sz w:val="20"/>
      </w:rPr>
    </w:lvl>
    <w:lvl w:ilvl="2">
      <w:start w:val="1"/>
      <w:numFmt w:val="bullet"/>
      <w:lvlText w:val=""/>
      <w:lvlJc w:val="left"/>
      <w:pPr>
        <w:tabs>
          <w:tab w:val="num" w:pos="2868"/>
        </w:tabs>
        <w:ind w:left="2868" w:hanging="360"/>
      </w:pPr>
      <w:rPr>
        <w:rFonts w:ascii="Wingdings" w:hAnsi="Wingdings" w:cs="Wingdings" w:hint="default"/>
        <w:sz w:val="20"/>
      </w:rPr>
    </w:lvl>
    <w:lvl w:ilvl="3">
      <w:start w:val="1"/>
      <w:numFmt w:val="bullet"/>
      <w:lvlText w:val=""/>
      <w:lvlJc w:val="left"/>
      <w:pPr>
        <w:tabs>
          <w:tab w:val="num" w:pos="3588"/>
        </w:tabs>
        <w:ind w:left="3588" w:hanging="360"/>
      </w:pPr>
      <w:rPr>
        <w:rFonts w:ascii="Wingdings" w:hAnsi="Wingdings" w:cs="Wingdings" w:hint="default"/>
        <w:sz w:val="20"/>
      </w:rPr>
    </w:lvl>
    <w:lvl w:ilvl="4">
      <w:start w:val="1"/>
      <w:numFmt w:val="bullet"/>
      <w:lvlText w:val=""/>
      <w:lvlJc w:val="left"/>
      <w:pPr>
        <w:tabs>
          <w:tab w:val="num" w:pos="4308"/>
        </w:tabs>
        <w:ind w:left="4308" w:hanging="360"/>
      </w:pPr>
      <w:rPr>
        <w:rFonts w:ascii="Wingdings" w:hAnsi="Wingdings" w:cs="Wingdings" w:hint="default"/>
        <w:sz w:val="20"/>
      </w:rPr>
    </w:lvl>
    <w:lvl w:ilvl="5">
      <w:start w:val="1"/>
      <w:numFmt w:val="bullet"/>
      <w:lvlText w:val=""/>
      <w:lvlJc w:val="left"/>
      <w:pPr>
        <w:tabs>
          <w:tab w:val="num" w:pos="5028"/>
        </w:tabs>
        <w:ind w:left="5028" w:hanging="360"/>
      </w:pPr>
      <w:rPr>
        <w:rFonts w:ascii="Wingdings" w:hAnsi="Wingdings" w:cs="Wingdings" w:hint="default"/>
        <w:sz w:val="20"/>
      </w:rPr>
    </w:lvl>
    <w:lvl w:ilvl="6">
      <w:start w:val="1"/>
      <w:numFmt w:val="bullet"/>
      <w:lvlText w:val=""/>
      <w:lvlJc w:val="left"/>
      <w:pPr>
        <w:tabs>
          <w:tab w:val="num" w:pos="5748"/>
        </w:tabs>
        <w:ind w:left="5748" w:hanging="360"/>
      </w:pPr>
      <w:rPr>
        <w:rFonts w:ascii="Wingdings" w:hAnsi="Wingdings" w:cs="Wingdings" w:hint="default"/>
        <w:sz w:val="20"/>
      </w:rPr>
    </w:lvl>
    <w:lvl w:ilvl="7">
      <w:start w:val="1"/>
      <w:numFmt w:val="bullet"/>
      <w:lvlText w:val=""/>
      <w:lvlJc w:val="left"/>
      <w:pPr>
        <w:tabs>
          <w:tab w:val="num" w:pos="6468"/>
        </w:tabs>
        <w:ind w:left="6468" w:hanging="360"/>
      </w:pPr>
      <w:rPr>
        <w:rFonts w:ascii="Wingdings" w:hAnsi="Wingdings" w:cs="Wingdings" w:hint="default"/>
        <w:sz w:val="20"/>
      </w:rPr>
    </w:lvl>
    <w:lvl w:ilvl="8">
      <w:start w:val="1"/>
      <w:numFmt w:val="bullet"/>
      <w:lvlText w:val=""/>
      <w:lvlJc w:val="left"/>
      <w:pPr>
        <w:tabs>
          <w:tab w:val="num" w:pos="7188"/>
        </w:tabs>
        <w:ind w:left="7188" w:hanging="360"/>
      </w:pPr>
      <w:rPr>
        <w:rFonts w:ascii="Wingdings" w:hAnsi="Wingdings" w:cs="Wingdings" w:hint="default"/>
        <w:sz w:val="20"/>
      </w:rPr>
    </w:lvl>
  </w:abstractNum>
  <w:abstractNum w:abstractNumId="29">
    <w:lvl w:ilvl="0">
      <w:start w:val="1"/>
      <w:numFmt w:val="bullet"/>
      <w:lvlText w:val=""/>
      <w:lvlJc w:val="left"/>
      <w:pPr>
        <w:tabs>
          <w:tab w:val="num" w:pos="1428"/>
        </w:tabs>
        <w:ind w:left="1428" w:hanging="360"/>
      </w:pPr>
      <w:rPr>
        <w:rFonts w:ascii="Symbol" w:hAnsi="Symbol" w:cs="Symbol" w:hint="default"/>
        <w:sz w:val="20"/>
      </w:rPr>
    </w:lvl>
    <w:lvl w:ilvl="1">
      <w:start w:val="1"/>
      <w:numFmt w:val="decimal"/>
      <w:lvlText w:val="%2."/>
      <w:lvlJc w:val="left"/>
      <w:pPr>
        <w:tabs>
          <w:tab w:val="num" w:pos="0"/>
        </w:tabs>
        <w:ind w:left="2148" w:hanging="360"/>
      </w:pPr>
      <w:rPr/>
    </w:lvl>
    <w:lvl w:ilvl="2">
      <w:start w:val="1"/>
      <w:numFmt w:val="bullet"/>
      <w:lvlText w:val=""/>
      <w:lvlJc w:val="left"/>
      <w:pPr>
        <w:tabs>
          <w:tab w:val="num" w:pos="2868"/>
        </w:tabs>
        <w:ind w:left="2868" w:hanging="360"/>
      </w:pPr>
      <w:rPr>
        <w:rFonts w:ascii="Wingdings" w:hAnsi="Wingdings" w:cs="Wingdings" w:hint="default"/>
        <w:sz w:val="20"/>
      </w:rPr>
    </w:lvl>
    <w:lvl w:ilvl="3">
      <w:start w:val="1"/>
      <w:numFmt w:val="bullet"/>
      <w:lvlText w:val=""/>
      <w:lvlJc w:val="left"/>
      <w:pPr>
        <w:tabs>
          <w:tab w:val="num" w:pos="3588"/>
        </w:tabs>
        <w:ind w:left="3588" w:hanging="360"/>
      </w:pPr>
      <w:rPr>
        <w:rFonts w:ascii="Wingdings" w:hAnsi="Wingdings" w:cs="Wingdings" w:hint="default"/>
        <w:sz w:val="20"/>
      </w:rPr>
    </w:lvl>
    <w:lvl w:ilvl="4">
      <w:start w:val="1"/>
      <w:numFmt w:val="bullet"/>
      <w:lvlText w:val=""/>
      <w:lvlJc w:val="left"/>
      <w:pPr>
        <w:tabs>
          <w:tab w:val="num" w:pos="4308"/>
        </w:tabs>
        <w:ind w:left="4308" w:hanging="360"/>
      </w:pPr>
      <w:rPr>
        <w:rFonts w:ascii="Wingdings" w:hAnsi="Wingdings" w:cs="Wingdings" w:hint="default"/>
        <w:sz w:val="20"/>
      </w:rPr>
    </w:lvl>
    <w:lvl w:ilvl="5">
      <w:start w:val="1"/>
      <w:numFmt w:val="bullet"/>
      <w:lvlText w:val=""/>
      <w:lvlJc w:val="left"/>
      <w:pPr>
        <w:tabs>
          <w:tab w:val="num" w:pos="5028"/>
        </w:tabs>
        <w:ind w:left="5028" w:hanging="360"/>
      </w:pPr>
      <w:rPr>
        <w:rFonts w:ascii="Wingdings" w:hAnsi="Wingdings" w:cs="Wingdings" w:hint="default"/>
        <w:sz w:val="20"/>
      </w:rPr>
    </w:lvl>
    <w:lvl w:ilvl="6">
      <w:start w:val="1"/>
      <w:numFmt w:val="bullet"/>
      <w:lvlText w:val=""/>
      <w:lvlJc w:val="left"/>
      <w:pPr>
        <w:tabs>
          <w:tab w:val="num" w:pos="5748"/>
        </w:tabs>
        <w:ind w:left="5748" w:hanging="360"/>
      </w:pPr>
      <w:rPr>
        <w:rFonts w:ascii="Wingdings" w:hAnsi="Wingdings" w:cs="Wingdings" w:hint="default"/>
        <w:sz w:val="20"/>
      </w:rPr>
    </w:lvl>
    <w:lvl w:ilvl="7">
      <w:start w:val="1"/>
      <w:numFmt w:val="bullet"/>
      <w:lvlText w:val=""/>
      <w:lvlJc w:val="left"/>
      <w:pPr>
        <w:tabs>
          <w:tab w:val="num" w:pos="6468"/>
        </w:tabs>
        <w:ind w:left="6468" w:hanging="360"/>
      </w:pPr>
      <w:rPr>
        <w:rFonts w:ascii="Wingdings" w:hAnsi="Wingdings" w:cs="Wingdings" w:hint="default"/>
        <w:sz w:val="20"/>
      </w:rPr>
    </w:lvl>
    <w:lvl w:ilvl="8">
      <w:start w:val="1"/>
      <w:numFmt w:val="bullet"/>
      <w:lvlText w:val=""/>
      <w:lvlJc w:val="left"/>
      <w:pPr>
        <w:tabs>
          <w:tab w:val="num" w:pos="7188"/>
        </w:tabs>
        <w:ind w:left="7188" w:hanging="360"/>
      </w:pPr>
      <w:rPr>
        <w:rFonts w:ascii="Wingdings" w:hAnsi="Wingdings" w:cs="Wingdings" w:hint="default"/>
        <w:sz w:val="20"/>
      </w:rPr>
    </w:lvl>
  </w:abstractNum>
  <w:abstractNum w:abstractNumId="30">
    <w:lvl w:ilvl="0">
      <w:start w:val="1"/>
      <w:numFmt w:val="bullet"/>
      <w:lvlText w:val=""/>
      <w:lvlJc w:val="left"/>
      <w:pPr>
        <w:tabs>
          <w:tab w:val="num" w:pos="1428"/>
        </w:tabs>
        <w:ind w:left="1428" w:hanging="360"/>
      </w:pPr>
      <w:rPr>
        <w:rFonts w:ascii="Symbol" w:hAnsi="Symbol" w:cs="Symbol" w:hint="default"/>
        <w:sz w:val="20"/>
      </w:rPr>
    </w:lvl>
    <w:lvl w:ilvl="1">
      <w:start w:val="1"/>
      <w:numFmt w:val="bullet"/>
      <w:lvlText w:val="o"/>
      <w:lvlJc w:val="left"/>
      <w:pPr>
        <w:tabs>
          <w:tab w:val="num" w:pos="2148"/>
        </w:tabs>
        <w:ind w:left="2148" w:hanging="360"/>
      </w:pPr>
      <w:rPr>
        <w:rFonts w:ascii="Courier New" w:hAnsi="Courier New" w:cs="Courier New" w:hint="default"/>
        <w:sz w:val="20"/>
      </w:rPr>
    </w:lvl>
    <w:lvl w:ilvl="2">
      <w:start w:val="1"/>
      <w:numFmt w:val="bullet"/>
      <w:lvlText w:val=""/>
      <w:lvlJc w:val="left"/>
      <w:pPr>
        <w:tabs>
          <w:tab w:val="num" w:pos="2868"/>
        </w:tabs>
        <w:ind w:left="2868" w:hanging="360"/>
      </w:pPr>
      <w:rPr>
        <w:rFonts w:ascii="Wingdings" w:hAnsi="Wingdings" w:cs="Wingdings" w:hint="default"/>
        <w:sz w:val="20"/>
      </w:rPr>
    </w:lvl>
    <w:lvl w:ilvl="3">
      <w:start w:val="1"/>
      <w:numFmt w:val="bullet"/>
      <w:lvlText w:val=""/>
      <w:lvlJc w:val="left"/>
      <w:pPr>
        <w:tabs>
          <w:tab w:val="num" w:pos="3588"/>
        </w:tabs>
        <w:ind w:left="3588" w:hanging="360"/>
      </w:pPr>
      <w:rPr>
        <w:rFonts w:ascii="Wingdings" w:hAnsi="Wingdings" w:cs="Wingdings" w:hint="default"/>
        <w:sz w:val="20"/>
      </w:rPr>
    </w:lvl>
    <w:lvl w:ilvl="4">
      <w:start w:val="1"/>
      <w:numFmt w:val="bullet"/>
      <w:lvlText w:val=""/>
      <w:lvlJc w:val="left"/>
      <w:pPr>
        <w:tabs>
          <w:tab w:val="num" w:pos="4308"/>
        </w:tabs>
        <w:ind w:left="4308" w:hanging="360"/>
      </w:pPr>
      <w:rPr>
        <w:rFonts w:ascii="Wingdings" w:hAnsi="Wingdings" w:cs="Wingdings" w:hint="default"/>
        <w:sz w:val="20"/>
      </w:rPr>
    </w:lvl>
    <w:lvl w:ilvl="5">
      <w:start w:val="1"/>
      <w:numFmt w:val="bullet"/>
      <w:lvlText w:val=""/>
      <w:lvlJc w:val="left"/>
      <w:pPr>
        <w:tabs>
          <w:tab w:val="num" w:pos="5028"/>
        </w:tabs>
        <w:ind w:left="5028" w:hanging="360"/>
      </w:pPr>
      <w:rPr>
        <w:rFonts w:ascii="Wingdings" w:hAnsi="Wingdings" w:cs="Wingdings" w:hint="default"/>
        <w:sz w:val="20"/>
      </w:rPr>
    </w:lvl>
    <w:lvl w:ilvl="6">
      <w:start w:val="1"/>
      <w:numFmt w:val="bullet"/>
      <w:lvlText w:val=""/>
      <w:lvlJc w:val="left"/>
      <w:pPr>
        <w:tabs>
          <w:tab w:val="num" w:pos="5748"/>
        </w:tabs>
        <w:ind w:left="5748" w:hanging="360"/>
      </w:pPr>
      <w:rPr>
        <w:rFonts w:ascii="Wingdings" w:hAnsi="Wingdings" w:cs="Wingdings" w:hint="default"/>
        <w:sz w:val="20"/>
      </w:rPr>
    </w:lvl>
    <w:lvl w:ilvl="7">
      <w:start w:val="1"/>
      <w:numFmt w:val="bullet"/>
      <w:lvlText w:val=""/>
      <w:lvlJc w:val="left"/>
      <w:pPr>
        <w:tabs>
          <w:tab w:val="num" w:pos="6468"/>
        </w:tabs>
        <w:ind w:left="6468" w:hanging="360"/>
      </w:pPr>
      <w:rPr>
        <w:rFonts w:ascii="Wingdings" w:hAnsi="Wingdings" w:cs="Wingdings" w:hint="default"/>
        <w:sz w:val="20"/>
      </w:rPr>
    </w:lvl>
    <w:lvl w:ilvl="8">
      <w:start w:val="1"/>
      <w:numFmt w:val="bullet"/>
      <w:lvlText w:val=""/>
      <w:lvlJc w:val="left"/>
      <w:pPr>
        <w:tabs>
          <w:tab w:val="num" w:pos="7188"/>
        </w:tabs>
        <w:ind w:left="7188" w:hanging="360"/>
      </w:pPr>
      <w:rPr>
        <w:rFonts w:ascii="Wingdings" w:hAnsi="Wingdings" w:cs="Wingdings" w:hint="default"/>
        <w:sz w:val="20"/>
      </w:rPr>
    </w:lvl>
  </w:abstractNum>
  <w:abstractNum w:abstractNumId="3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3">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8">
    <w:lvl w:ilvl="0">
      <w:start w:val="1"/>
      <w:numFmt w:val="bullet"/>
      <w:lvlText w:val=""/>
      <w:lvlJc w:val="left"/>
      <w:pPr>
        <w:tabs>
          <w:tab w:val="num" w:pos="0"/>
        </w:tabs>
        <w:ind w:left="792" w:hanging="360"/>
      </w:pPr>
      <w:rPr>
        <w:rFonts w:ascii="Symbol" w:hAnsi="Symbol" w:cs="Symbol" w:hint="default"/>
      </w:rPr>
    </w:lvl>
    <w:lvl w:ilvl="1">
      <w:start w:val="1"/>
      <w:numFmt w:val="bullet"/>
      <w:lvlText w:val="o"/>
      <w:lvlJc w:val="left"/>
      <w:pPr>
        <w:tabs>
          <w:tab w:val="num" w:pos="0"/>
        </w:tabs>
        <w:ind w:left="1512" w:hanging="360"/>
      </w:pPr>
      <w:rPr>
        <w:rFonts w:ascii="Courier New" w:hAnsi="Courier New" w:cs="Courier New" w:hint="default"/>
      </w:rPr>
    </w:lvl>
    <w:lvl w:ilvl="2">
      <w:start w:val="1"/>
      <w:numFmt w:val="bullet"/>
      <w:lvlText w:val=""/>
      <w:lvlJc w:val="left"/>
      <w:pPr>
        <w:tabs>
          <w:tab w:val="num" w:pos="0"/>
        </w:tabs>
        <w:ind w:left="2232" w:hanging="360"/>
      </w:pPr>
      <w:rPr>
        <w:rFonts w:ascii="Wingdings" w:hAnsi="Wingdings" w:cs="Wingdings" w:hint="default"/>
      </w:rPr>
    </w:lvl>
    <w:lvl w:ilvl="3">
      <w:start w:val="1"/>
      <w:numFmt w:val="bullet"/>
      <w:lvlText w:val=""/>
      <w:lvlJc w:val="left"/>
      <w:pPr>
        <w:tabs>
          <w:tab w:val="num" w:pos="0"/>
        </w:tabs>
        <w:ind w:left="2952" w:hanging="360"/>
      </w:pPr>
      <w:rPr>
        <w:rFonts w:ascii="Symbol" w:hAnsi="Symbol" w:cs="Symbol" w:hint="default"/>
      </w:rPr>
    </w:lvl>
    <w:lvl w:ilvl="4">
      <w:start w:val="1"/>
      <w:numFmt w:val="bullet"/>
      <w:lvlText w:val="o"/>
      <w:lvlJc w:val="left"/>
      <w:pPr>
        <w:tabs>
          <w:tab w:val="num" w:pos="0"/>
        </w:tabs>
        <w:ind w:left="3672" w:hanging="360"/>
      </w:pPr>
      <w:rPr>
        <w:rFonts w:ascii="Courier New" w:hAnsi="Courier New" w:cs="Courier New" w:hint="default"/>
      </w:rPr>
    </w:lvl>
    <w:lvl w:ilvl="5">
      <w:start w:val="1"/>
      <w:numFmt w:val="bullet"/>
      <w:lvlText w:val=""/>
      <w:lvlJc w:val="left"/>
      <w:pPr>
        <w:tabs>
          <w:tab w:val="num" w:pos="0"/>
        </w:tabs>
        <w:ind w:left="4392" w:hanging="360"/>
      </w:pPr>
      <w:rPr>
        <w:rFonts w:ascii="Wingdings" w:hAnsi="Wingdings" w:cs="Wingdings" w:hint="default"/>
      </w:rPr>
    </w:lvl>
    <w:lvl w:ilvl="6">
      <w:start w:val="1"/>
      <w:numFmt w:val="bullet"/>
      <w:lvlText w:val=""/>
      <w:lvlJc w:val="left"/>
      <w:pPr>
        <w:tabs>
          <w:tab w:val="num" w:pos="0"/>
        </w:tabs>
        <w:ind w:left="5112" w:hanging="360"/>
      </w:pPr>
      <w:rPr>
        <w:rFonts w:ascii="Symbol" w:hAnsi="Symbol" w:cs="Symbol" w:hint="default"/>
      </w:rPr>
    </w:lvl>
    <w:lvl w:ilvl="7">
      <w:start w:val="1"/>
      <w:numFmt w:val="bullet"/>
      <w:lvlText w:val="o"/>
      <w:lvlJc w:val="left"/>
      <w:pPr>
        <w:tabs>
          <w:tab w:val="num" w:pos="0"/>
        </w:tabs>
        <w:ind w:left="5832" w:hanging="360"/>
      </w:pPr>
      <w:rPr>
        <w:rFonts w:ascii="Courier New" w:hAnsi="Courier New" w:cs="Courier New" w:hint="default"/>
      </w:rPr>
    </w:lvl>
    <w:lvl w:ilvl="8">
      <w:start w:val="1"/>
      <w:numFmt w:val="bullet"/>
      <w:lvlText w:val=""/>
      <w:lvlJc w:val="left"/>
      <w:pPr>
        <w:tabs>
          <w:tab w:val="num" w:pos="0"/>
        </w:tabs>
        <w:ind w:left="6552" w:hanging="360"/>
      </w:pPr>
      <w:rPr>
        <w:rFonts w:ascii="Wingdings" w:hAnsi="Wingdings" w:cs="Wingdings" w:hint="default"/>
      </w:rPr>
    </w:lvl>
  </w:abstractNum>
  <w:abstractNum w:abstractNumId="5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9">
    <w:lvl w:ilvl="0">
      <w:start w:val="1"/>
      <w:numFmt w:val="bullet"/>
      <w:lvlText w:val=""/>
      <w:lvlJc w:val="left"/>
      <w:pPr>
        <w:tabs>
          <w:tab w:val="num" w:pos="0"/>
        </w:tabs>
        <w:ind w:left="1145" w:hanging="360"/>
      </w:pPr>
      <w:rPr>
        <w:rFonts w:ascii="Symbol" w:hAnsi="Symbol" w:cs="Symbol" w:hint="default"/>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2">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2">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5">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6">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8">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9">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0">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1">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2">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3">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4">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5">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6">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7">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8">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9">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0">
    <w:lvl w:ilvl="0">
      <w:start w:val="1"/>
      <w:numFmt w:val="decimal"/>
      <w:lvlText w:val="%1."/>
      <w:lvlJc w:val="left"/>
      <w:pPr>
        <w:tabs>
          <w:tab w:val="num" w:pos="0"/>
        </w:tabs>
        <w:ind w:left="720" w:hanging="360"/>
      </w:pPr>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2">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3">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4">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5">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6">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8">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9">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0">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2">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3">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4">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5">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6">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8">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9">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0">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2">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3">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4">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5">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6">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8">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9">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0">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2">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3">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4">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5">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6">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8">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9">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0">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2">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3">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4">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5">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6">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8">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9">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0">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2">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3">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4">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5">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6">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8">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9">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0">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2">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3">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4">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5">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6">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8">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9">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0">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2">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3">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4">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5">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6">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8">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9">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0">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rFonts w:ascii="Arial" w:hAnsi="Arial" w:eastAsia="Times New Roman" w:cs="Arial"/>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102"/>
    <w:lvlOverride w:ilvl="0">
      <w:startOverride w:val="1"/>
    </w:lvlOverride>
    <w:lvlOverride w:ilvl="1">
      <w:startOverride w:val="1"/>
    </w:lvlOverride>
  </w:num>
  <w:num w:numId="214">
    <w:abstractNumId w:val="102"/>
  </w:num>
  <w:num w:numId="215">
    <w:abstractNumId w:val="102"/>
  </w:num>
  <w:num w:numId="216">
    <w:abstractNumId w:val="102"/>
  </w:num>
  <w:num w:numId="217">
    <w:abstractNumId w:val="106"/>
    <w:lvlOverride w:ilvl="0">
      <w:startOverride w:val="1"/>
    </w:lvlOverride>
    <w:lvlOverride w:ilvl="1">
      <w:startOverride w:val="1"/>
    </w:lvlOverride>
  </w:num>
  <w:num w:numId="218">
    <w:abstractNumId w:val="106"/>
  </w:num>
  <w:num w:numId="219">
    <w:abstractNumId w:val="106"/>
  </w:num>
  <w:num w:numId="220">
    <w:abstractNumId w:val="106"/>
  </w:num>
  <w:num w:numId="221">
    <w:abstractNumId w:val="106"/>
  </w:num>
  <w:num w:numId="222">
    <w:abstractNumId w:val="106"/>
  </w:num>
  <w:num w:numId="223">
    <w:abstractNumId w:val="106"/>
  </w:num>
  <w:num w:numId="224">
    <w:abstractNumId w:val="106"/>
  </w:num>
  <w:num w:numId="225">
    <w:abstractNumId w:val="106"/>
  </w:num>
  <w:num w:numId="226">
    <w:abstractNumId w:val="106"/>
  </w:num>
  <w:num w:numId="227">
    <w:abstractNumId w:val="106"/>
  </w:num>
  <w:num w:numId="228">
    <w:abstractNumId w:val="106"/>
  </w:num>
  <w:num w:numId="229">
    <w:abstractNumId w:val="102"/>
  </w:num>
  <w:num w:numId="230">
    <w:abstractNumId w:val="102"/>
  </w:num>
  <w:num w:numId="231">
    <w:abstractNumId w:val="102"/>
  </w:num>
  <w:num w:numId="232">
    <w:abstractNumId w:val="102"/>
  </w:num>
  <w:num w:numId="233">
    <w:abstractNumId w:val="102"/>
  </w:num>
  <w:num w:numId="234">
    <w:abstractNumId w:val="102"/>
  </w:num>
  <w:num w:numId="235">
    <w:abstractNumId w:val="102"/>
  </w:num>
  <w:num w:numId="236">
    <w:abstractNumId w:val="102"/>
  </w:num>
  <w:num w:numId="237">
    <w:abstractNumId w:val="102"/>
  </w:num>
  <w:num w:numId="238">
    <w:abstractNumId w:val="102"/>
  </w:num>
  <w:num w:numId="239">
    <w:abstractNumId w:val="102"/>
  </w:num>
  <w:num w:numId="240">
    <w:abstractNumId w:val="102"/>
  </w:num>
  <w:num w:numId="241">
    <w:abstractNumId w:val="102"/>
  </w:num>
  <w:num w:numId="242">
    <w:abstractNumId w:val="106"/>
  </w:num>
  <w:num w:numId="243">
    <w:abstractNumId w:val="106"/>
  </w:num>
  <w:num w:numId="244">
    <w:abstractNumId w:val="106"/>
  </w:num>
  <w:num w:numId="245">
    <w:abstractNumId w:val="106"/>
  </w:num>
  <w:num w:numId="246">
    <w:abstractNumId w:val="106"/>
  </w:num>
  <w:num w:numId="247">
    <w:abstractNumId w:val="106"/>
  </w:num>
  <w:num w:numId="248">
    <w:abstractNumId w:val="106"/>
  </w:num>
  <w:num w:numId="249">
    <w:abstractNumId w:val="106"/>
  </w:num>
  <w:num w:numId="250">
    <w:abstractNumId w:val="106"/>
  </w:num>
  <w:num w:numId="251">
    <w:abstractNumId w:val="106"/>
  </w:num>
  <w:num w:numId="252">
    <w:abstractNumId w:val="106"/>
  </w:num>
  <w:num w:numId="253">
    <w:abstractNumId w:val="106"/>
  </w:num>
  <w:num w:numId="254">
    <w:abstractNumId w:val="106"/>
  </w:num>
  <w:num w:numId="255">
    <w:abstractNumId w:val="106"/>
  </w:num>
  <w:num w:numId="256">
    <w:abstractNumId w:val="106"/>
  </w:num>
  <w:num w:numId="257">
    <w:abstractNumId w:val="106"/>
  </w:num>
  <w:num w:numId="258">
    <w:abstractNumId w:val="106"/>
  </w:num>
  <w:num w:numId="259">
    <w:abstractNumId w:val="106"/>
  </w:num>
  <w:num w:numId="260">
    <w:abstractNumId w:val="106"/>
  </w:num>
  <w:num w:numId="261">
    <w:abstractNumId w:val="106"/>
  </w:num>
  <w:num w:numId="262">
    <w:abstractNumId w:val="106"/>
  </w:num>
  <w:num w:numId="263">
    <w:abstractNumId w:val="106"/>
  </w:num>
  <w:num w:numId="264">
    <w:abstractNumId w:val="106"/>
  </w:num>
  <w:num w:numId="265">
    <w:abstractNumId w:val="106"/>
  </w:num>
  <w:num w:numId="266">
    <w:abstractNumId w:val="106"/>
  </w:num>
  <w:num w:numId="267">
    <w:abstractNumId w:val="106"/>
  </w:num>
  <w:num w:numId="268">
    <w:abstractNumId w:val="106"/>
  </w:num>
  <w:num w:numId="269">
    <w:abstractNumId w:val="106"/>
  </w:num>
  <w:num w:numId="270">
    <w:abstractNumId w:val="106"/>
  </w:num>
  <w:num w:numId="271">
    <w:abstractNumId w:val="106"/>
  </w:num>
  <w:num w:numId="272">
    <w:abstractNumId w:val="106"/>
  </w:num>
  <w:num w:numId="273">
    <w:abstractNumId w:val="106"/>
  </w:num>
  <w:num w:numId="274">
    <w:abstractNumId w:val="106"/>
  </w:num>
  <w:num w:numId="275">
    <w:abstractNumId w:val="106"/>
  </w:num>
  <w:num w:numId="276">
    <w:abstractNumId w:val="106"/>
  </w:num>
  <w:num w:numId="277">
    <w:abstractNumId w:val="106"/>
  </w:num>
  <w:num w:numId="278">
    <w:abstractNumId w:val="106"/>
  </w:num>
  <w:num w:numId="279">
    <w:abstractNumId w:val="106"/>
  </w:num>
  <w:num w:numId="280">
    <w:abstractNumId w:val="106"/>
  </w:num>
  <w:num w:numId="281">
    <w:abstractNumId w:val="106"/>
  </w:num>
  <w:num w:numId="282">
    <w:abstractNumId w:val="106"/>
  </w:num>
  <w:num w:numId="283">
    <w:abstractNumId w:val="106"/>
  </w:num>
  <w:num w:numId="284">
    <w:abstractNumId w:val="106"/>
  </w:num>
  <w:num w:numId="285">
    <w:abstractNumId w:val="106"/>
  </w:num>
  <w:num w:numId="286">
    <w:abstractNumId w:val="106"/>
  </w:num>
  <w:num w:numId="287">
    <w:abstractNumId w:val="106"/>
  </w:num>
  <w:num w:numId="288">
    <w:abstractNumId w:val="106"/>
  </w:num>
  <w:num w:numId="289">
    <w:abstractNumId w:val="106"/>
  </w:num>
  <w:num w:numId="290">
    <w:abstractNumId w:val="106"/>
  </w:num>
  <w:num w:numId="291">
    <w:abstractNumId w:val="106"/>
  </w:num>
  <w:num w:numId="292">
    <w:abstractNumId w:val="106"/>
  </w:num>
  <w:num w:numId="293">
    <w:abstractNumId w:val="106"/>
  </w:num>
  <w:num w:numId="294">
    <w:abstractNumId w:val="106"/>
  </w:num>
  <w:num w:numId="295">
    <w:abstractNumId w:val="106"/>
  </w:num>
  <w:num w:numId="296">
    <w:abstractNumId w:val="106"/>
  </w:num>
  <w:num w:numId="297">
    <w:abstractNumId w:val="106"/>
  </w:num>
  <w:num w:numId="298">
    <w:abstractNumId w:val="106"/>
  </w:num>
  <w:num w:numId="299">
    <w:abstractNumId w:val="106"/>
  </w:num>
  <w:num w:numId="300">
    <w:abstractNumId w:val="106"/>
  </w:num>
  <w:num w:numId="301">
    <w:abstractNumId w:val="106"/>
  </w:num>
  <w:num w:numId="302">
    <w:abstractNumId w:val="106"/>
  </w:num>
  <w:num w:numId="303">
    <w:abstractNumId w:val="106"/>
  </w:num>
  <w:num w:numId="304">
    <w:abstractNumId w:val="106"/>
  </w:num>
  <w:num w:numId="305">
    <w:abstractNumId w:val="106"/>
  </w:num>
  <w:num w:numId="306">
    <w:abstractNumId w:val="106"/>
  </w:num>
  <w:num w:numId="307">
    <w:abstractNumId w:val="106"/>
  </w:num>
  <w:num w:numId="308">
    <w:abstractNumId w:val="106"/>
  </w:num>
  <w:num w:numId="309">
    <w:abstractNumId w:val="106"/>
  </w:num>
  <w:num w:numId="310">
    <w:abstractNumId w:val="106"/>
  </w:num>
  <w:num w:numId="311">
    <w:abstractNumId w:val="106"/>
  </w:num>
  <w:num w:numId="312">
    <w:abstractNumId w:val="106"/>
  </w:num>
  <w:num w:numId="313">
    <w:abstractNumId w:val="106"/>
  </w:num>
  <w:num w:numId="314">
    <w:abstractNumId w:val="106"/>
  </w:num>
  <w:num w:numId="315">
    <w:abstractNumId w:val="106"/>
  </w:num>
  <w:num w:numId="316">
    <w:abstractNumId w:val="106"/>
  </w:num>
  <w:num w:numId="317">
    <w:abstractNumId w:val="106"/>
  </w:num>
  <w:num w:numId="318">
    <w:abstractNumId w:val="106"/>
  </w:num>
  <w:num w:numId="319">
    <w:abstractNumId w:val="106"/>
  </w:num>
  <w:num w:numId="320">
    <w:abstractNumId w:val="106"/>
  </w:num>
  <w:num w:numId="321">
    <w:abstractNumId w:val="106"/>
  </w:num>
  <w:num w:numId="322">
    <w:abstractNumId w:val="106"/>
  </w:num>
</w:numbering>
</file>

<file path=word/settings.xml><?xml version="1.0" encoding="utf-8"?>
<w:settings xmlns:w="http://schemas.openxmlformats.org/wordprocessingml/2006/main">
  <w:zoom w:percent="110"/>
  <w:defaultTabStop w:val="708"/>
  <w:autoHyphenation w:val="true"/>
  <w:hyphenationZone w:val="0"/>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pl-PL"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3188"/>
    <w:pPr>
      <w:widowControl/>
      <w:suppressAutoHyphens w:val="true"/>
      <w:bidi w:val="0"/>
      <w:spacing w:lineRule="auto" w:line="278" w:before="0" w:after="160"/>
      <w:jc w:val="center"/>
    </w:pPr>
    <w:rPr>
      <w:rFonts w:ascii="Aptos" w:hAnsi="Aptos" w:eastAsia="Aptos" w:cs="" w:asciiTheme="minorHAnsi" w:cstheme="minorBidi" w:eastAsiaTheme="minorHAnsi" w:hAnsiTheme="minorHAnsi"/>
      <w:color w:val="auto"/>
      <w:kern w:val="2"/>
      <w:sz w:val="24"/>
      <w:szCs w:val="24"/>
      <w:lang w:val="pl-PL" w:eastAsia="en-US" w:bidi="ar-SA"/>
      <w14:ligatures w14:val="standardContextual"/>
    </w:rPr>
  </w:style>
  <w:style w:type="paragraph" w:styleId="Heading1">
    <w:name w:val="heading 1"/>
    <w:basedOn w:val="Normal"/>
    <w:next w:val="Normal"/>
    <w:link w:val="Nagwek1Znak"/>
    <w:uiPriority w:val="9"/>
    <w:qFormat/>
    <w:rsid w:val="00f862f3"/>
    <w:pPr>
      <w:keepNext w:val="true"/>
      <w:keepLines/>
      <w:spacing w:before="360" w:after="80"/>
      <w:jc w:val="left"/>
      <w:outlineLvl w:val="0"/>
    </w:pPr>
    <w:rPr>
      <w:rFonts w:ascii="Arial" w:hAnsi="Arial" w:eastAsia="" w:cs="Arial" w:eastAsiaTheme="majorEastAsia"/>
      <w:b/>
      <w:bCs/>
      <w:color w:themeColor="accent1" w:themeShade="bf" w:val="374C80"/>
      <w:sz w:val="32"/>
      <w:szCs w:val="32"/>
    </w:rPr>
  </w:style>
  <w:style w:type="paragraph" w:styleId="Heading2">
    <w:name w:val="heading 2"/>
    <w:basedOn w:val="Normal"/>
    <w:next w:val="Normal"/>
    <w:link w:val="Nagwek2Znak"/>
    <w:uiPriority w:val="9"/>
    <w:unhideWhenUsed/>
    <w:qFormat/>
    <w:rsid w:val="006813fd"/>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374C80"/>
      <w:sz w:val="32"/>
      <w:szCs w:val="32"/>
    </w:rPr>
  </w:style>
  <w:style w:type="paragraph" w:styleId="Heading3">
    <w:name w:val="heading 3"/>
    <w:basedOn w:val="Normal"/>
    <w:next w:val="Normal"/>
    <w:link w:val="Nagwek3Znak"/>
    <w:uiPriority w:val="9"/>
    <w:unhideWhenUsed/>
    <w:qFormat/>
    <w:rsid w:val="006813fd"/>
    <w:pPr>
      <w:keepNext w:val="true"/>
      <w:keepLines/>
      <w:spacing w:before="160" w:after="80"/>
      <w:outlineLvl w:val="2"/>
    </w:pPr>
    <w:rPr>
      <w:rFonts w:eastAsia="" w:cs="" w:cstheme="majorBidi" w:eastAsiaTheme="majorEastAsia"/>
      <w:color w:themeColor="accent1" w:themeShade="bf" w:val="374C80"/>
      <w:sz w:val="28"/>
      <w:szCs w:val="28"/>
    </w:rPr>
  </w:style>
  <w:style w:type="paragraph" w:styleId="Heading4">
    <w:name w:val="heading 4"/>
    <w:basedOn w:val="Normal"/>
    <w:next w:val="Normal"/>
    <w:link w:val="Nagwek4Znak"/>
    <w:uiPriority w:val="9"/>
    <w:semiHidden/>
    <w:unhideWhenUsed/>
    <w:qFormat/>
    <w:rsid w:val="006813fd"/>
    <w:pPr>
      <w:keepNext w:val="true"/>
      <w:keepLines/>
      <w:spacing w:before="80" w:after="40"/>
      <w:outlineLvl w:val="3"/>
    </w:pPr>
    <w:rPr>
      <w:rFonts w:eastAsia="" w:cs="" w:cstheme="majorBidi" w:eastAsiaTheme="majorEastAsia"/>
      <w:i/>
      <w:iCs/>
      <w:color w:themeColor="accent1" w:themeShade="bf" w:val="374C80"/>
    </w:rPr>
  </w:style>
  <w:style w:type="paragraph" w:styleId="Heading5">
    <w:name w:val="heading 5"/>
    <w:basedOn w:val="Normal"/>
    <w:next w:val="Normal"/>
    <w:link w:val="Nagwek5Znak"/>
    <w:uiPriority w:val="9"/>
    <w:semiHidden/>
    <w:unhideWhenUsed/>
    <w:qFormat/>
    <w:rsid w:val="006813fd"/>
    <w:pPr>
      <w:keepNext w:val="true"/>
      <w:keepLines/>
      <w:spacing w:before="80" w:after="40"/>
      <w:outlineLvl w:val="4"/>
    </w:pPr>
    <w:rPr>
      <w:rFonts w:eastAsia="" w:cs="" w:cstheme="majorBidi" w:eastAsiaTheme="majorEastAsia"/>
      <w:color w:themeColor="accent1" w:themeShade="bf" w:val="374C80"/>
    </w:rPr>
  </w:style>
  <w:style w:type="paragraph" w:styleId="Heading6">
    <w:name w:val="heading 6"/>
    <w:basedOn w:val="Normal"/>
    <w:next w:val="Normal"/>
    <w:link w:val="Nagwek6Znak"/>
    <w:uiPriority w:val="9"/>
    <w:semiHidden/>
    <w:unhideWhenUsed/>
    <w:qFormat/>
    <w:rsid w:val="006813fd"/>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Nagwek7Znak"/>
    <w:uiPriority w:val="9"/>
    <w:semiHidden/>
    <w:unhideWhenUsed/>
    <w:qFormat/>
    <w:rsid w:val="006813fd"/>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Nagwek8Znak"/>
    <w:uiPriority w:val="9"/>
    <w:semiHidden/>
    <w:unhideWhenUsed/>
    <w:qFormat/>
    <w:rsid w:val="006813fd"/>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Nagwek9Znak"/>
    <w:uiPriority w:val="9"/>
    <w:semiHidden/>
    <w:unhideWhenUsed/>
    <w:qFormat/>
    <w:rsid w:val="006813fd"/>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uiPriority w:val="9"/>
    <w:qFormat/>
    <w:rsid w:val="00f862f3"/>
    <w:rPr>
      <w:rFonts w:ascii="Arial" w:hAnsi="Arial" w:eastAsia="" w:cs="Arial" w:eastAsiaTheme="majorEastAsia"/>
      <w:b/>
      <w:bCs/>
      <w:color w:themeColor="accent1" w:themeShade="bf" w:val="374C80"/>
      <w:sz w:val="32"/>
      <w:szCs w:val="32"/>
    </w:rPr>
  </w:style>
  <w:style w:type="character" w:styleId="Nagwek2Znak" w:customStyle="1">
    <w:name w:val="Nagłówek 2 Znak"/>
    <w:basedOn w:val="DefaultParagraphFont"/>
    <w:uiPriority w:val="9"/>
    <w:qFormat/>
    <w:rsid w:val="006813fd"/>
    <w:rPr>
      <w:rFonts w:ascii="Aptos Display" w:hAnsi="Aptos Display" w:eastAsia="" w:cs="" w:asciiTheme="majorHAnsi" w:cstheme="majorBidi" w:eastAsiaTheme="majorEastAsia" w:hAnsiTheme="majorHAnsi"/>
      <w:color w:themeColor="accent1" w:themeShade="bf" w:val="374C80"/>
      <w:sz w:val="32"/>
      <w:szCs w:val="32"/>
    </w:rPr>
  </w:style>
  <w:style w:type="character" w:styleId="Nagwek3Znak" w:customStyle="1">
    <w:name w:val="Nagłówek 3 Znak"/>
    <w:basedOn w:val="DefaultParagraphFont"/>
    <w:uiPriority w:val="9"/>
    <w:qFormat/>
    <w:rsid w:val="006813fd"/>
    <w:rPr>
      <w:rFonts w:eastAsia="" w:cs="" w:cstheme="majorBidi" w:eastAsiaTheme="majorEastAsia"/>
      <w:color w:themeColor="accent1" w:themeShade="bf" w:val="374C80"/>
      <w:sz w:val="28"/>
      <w:szCs w:val="28"/>
    </w:rPr>
  </w:style>
  <w:style w:type="character" w:styleId="Nagwek4Znak" w:customStyle="1">
    <w:name w:val="Nagłówek 4 Znak"/>
    <w:basedOn w:val="DefaultParagraphFont"/>
    <w:uiPriority w:val="9"/>
    <w:semiHidden/>
    <w:qFormat/>
    <w:rsid w:val="006813fd"/>
    <w:rPr>
      <w:rFonts w:eastAsia="" w:cs="" w:cstheme="majorBidi" w:eastAsiaTheme="majorEastAsia"/>
      <w:i/>
      <w:iCs/>
      <w:color w:themeColor="accent1" w:themeShade="bf" w:val="374C80"/>
    </w:rPr>
  </w:style>
  <w:style w:type="character" w:styleId="Nagwek5Znak" w:customStyle="1">
    <w:name w:val="Nagłówek 5 Znak"/>
    <w:basedOn w:val="DefaultParagraphFont"/>
    <w:uiPriority w:val="9"/>
    <w:semiHidden/>
    <w:qFormat/>
    <w:rsid w:val="006813fd"/>
    <w:rPr>
      <w:rFonts w:eastAsia="" w:cs="" w:cstheme="majorBidi" w:eastAsiaTheme="majorEastAsia"/>
      <w:color w:themeColor="accent1" w:themeShade="bf" w:val="374C80"/>
    </w:rPr>
  </w:style>
  <w:style w:type="character" w:styleId="Nagwek6Znak" w:customStyle="1">
    <w:name w:val="Nagłówek 6 Znak"/>
    <w:basedOn w:val="DefaultParagraphFont"/>
    <w:uiPriority w:val="9"/>
    <w:semiHidden/>
    <w:qFormat/>
    <w:rsid w:val="006813fd"/>
    <w:rPr>
      <w:rFonts w:eastAsia="" w:cs="" w:cstheme="majorBidi" w:eastAsiaTheme="majorEastAsia"/>
      <w:i/>
      <w:iCs/>
      <w:color w:themeColor="text1" w:themeTint="a6" w:val="595959"/>
    </w:rPr>
  </w:style>
  <w:style w:type="character" w:styleId="Nagwek7Znak" w:customStyle="1">
    <w:name w:val="Nagłówek 7 Znak"/>
    <w:basedOn w:val="DefaultParagraphFont"/>
    <w:uiPriority w:val="9"/>
    <w:semiHidden/>
    <w:qFormat/>
    <w:rsid w:val="006813fd"/>
    <w:rPr>
      <w:rFonts w:eastAsia="" w:cs="" w:cstheme="majorBidi" w:eastAsiaTheme="majorEastAsia"/>
      <w:color w:themeColor="text1" w:themeTint="a6" w:val="595959"/>
    </w:rPr>
  </w:style>
  <w:style w:type="character" w:styleId="Nagwek8Znak" w:customStyle="1">
    <w:name w:val="Nagłówek 8 Znak"/>
    <w:basedOn w:val="DefaultParagraphFont"/>
    <w:uiPriority w:val="9"/>
    <w:semiHidden/>
    <w:qFormat/>
    <w:rsid w:val="006813fd"/>
    <w:rPr>
      <w:rFonts w:eastAsia="" w:cs="" w:cstheme="majorBidi" w:eastAsiaTheme="majorEastAsia"/>
      <w:i/>
      <w:iCs/>
      <w:color w:themeColor="text1" w:themeTint="d8" w:val="272727"/>
    </w:rPr>
  </w:style>
  <w:style w:type="character" w:styleId="Nagwek9Znak" w:customStyle="1">
    <w:name w:val="Nagłówek 9 Znak"/>
    <w:basedOn w:val="DefaultParagraphFont"/>
    <w:uiPriority w:val="9"/>
    <w:semiHidden/>
    <w:qFormat/>
    <w:rsid w:val="006813fd"/>
    <w:rPr>
      <w:rFonts w:eastAsia="" w:cs="" w:cstheme="majorBidi" w:eastAsiaTheme="majorEastAsia"/>
      <w:color w:themeColor="text1" w:themeTint="d8" w:val="272727"/>
    </w:rPr>
  </w:style>
  <w:style w:type="character" w:styleId="TytuZnak" w:customStyle="1">
    <w:name w:val="Tytuł Znak"/>
    <w:basedOn w:val="DefaultParagraphFont"/>
    <w:uiPriority w:val="10"/>
    <w:qFormat/>
    <w:rsid w:val="006813fd"/>
    <w:rPr>
      <w:rFonts w:ascii="Aptos Display" w:hAnsi="Aptos Display" w:eastAsia="" w:cs="" w:asciiTheme="majorHAnsi" w:cstheme="majorBidi" w:eastAsiaTheme="majorEastAsia" w:hAnsiTheme="majorHAnsi"/>
      <w:spacing w:val="-10"/>
      <w:kern w:val="2"/>
      <w:sz w:val="56"/>
      <w:szCs w:val="56"/>
    </w:rPr>
  </w:style>
  <w:style w:type="character" w:styleId="PodtytuZnak" w:customStyle="1">
    <w:name w:val="Podtytuł Znak"/>
    <w:basedOn w:val="DefaultParagraphFont"/>
    <w:uiPriority w:val="11"/>
    <w:qFormat/>
    <w:rsid w:val="006813fd"/>
    <w:rPr>
      <w:rFonts w:eastAsia="" w:cs="" w:cstheme="majorBidi" w:eastAsiaTheme="majorEastAsia"/>
      <w:color w:themeColor="text1" w:themeTint="a6" w:val="595959"/>
      <w:spacing w:val="15"/>
      <w:sz w:val="28"/>
      <w:szCs w:val="28"/>
    </w:rPr>
  </w:style>
  <w:style w:type="character" w:styleId="CytatZnak" w:customStyle="1">
    <w:name w:val="Cytat Znak"/>
    <w:basedOn w:val="DefaultParagraphFont"/>
    <w:link w:val="Quote"/>
    <w:uiPriority w:val="29"/>
    <w:qFormat/>
    <w:rsid w:val="006813fd"/>
    <w:rPr>
      <w:i/>
      <w:iCs/>
      <w:color w:themeColor="text1" w:themeTint="bf" w:val="404040"/>
    </w:rPr>
  </w:style>
  <w:style w:type="character" w:styleId="IntenseEmphasis">
    <w:name w:val="Intense Emphasis"/>
    <w:basedOn w:val="DefaultParagraphFont"/>
    <w:uiPriority w:val="21"/>
    <w:qFormat/>
    <w:rsid w:val="006813fd"/>
    <w:rPr>
      <w:i/>
      <w:iCs/>
      <w:color w:themeColor="accent1" w:themeShade="bf" w:val="374C80"/>
    </w:rPr>
  </w:style>
  <w:style w:type="character" w:styleId="CytatintensywnyZnak" w:customStyle="1">
    <w:name w:val="Cytat intensywny Znak"/>
    <w:basedOn w:val="DefaultParagraphFont"/>
    <w:link w:val="IntenseQuote"/>
    <w:uiPriority w:val="30"/>
    <w:qFormat/>
    <w:rsid w:val="006813fd"/>
    <w:rPr>
      <w:i/>
      <w:iCs/>
      <w:color w:themeColor="accent1" w:themeShade="bf" w:val="374C80"/>
    </w:rPr>
  </w:style>
  <w:style w:type="character" w:styleId="IntenseReference">
    <w:name w:val="Intense Reference"/>
    <w:basedOn w:val="DefaultParagraphFont"/>
    <w:uiPriority w:val="32"/>
    <w:qFormat/>
    <w:rsid w:val="006813fd"/>
    <w:rPr>
      <w:b/>
      <w:bCs/>
      <w:smallCaps/>
      <w:color w:themeColor="accent1" w:themeShade="bf" w:val="374C80"/>
      <w:spacing w:val="5"/>
    </w:rPr>
  </w:style>
  <w:style w:type="character" w:styleId="Hyperlink">
    <w:name w:val="Hyperlink"/>
    <w:basedOn w:val="DefaultParagraphFont"/>
    <w:uiPriority w:val="99"/>
    <w:unhideWhenUsed/>
    <w:rsid w:val="00800e4c"/>
    <w:rPr>
      <w:color w:themeColor="hyperlink" w:val="9454C3"/>
      <w:u w:val="single"/>
    </w:rPr>
  </w:style>
  <w:style w:type="character" w:styleId="NagwekZnak" w:customStyle="1">
    <w:name w:val="Nagłówek Znak"/>
    <w:basedOn w:val="DefaultParagraphFont"/>
    <w:uiPriority w:val="99"/>
    <w:qFormat/>
    <w:rsid w:val="002f40b1"/>
    <w:rPr/>
  </w:style>
  <w:style w:type="character" w:styleId="StopkaZnak" w:customStyle="1">
    <w:name w:val="Stopka Znak"/>
    <w:basedOn w:val="DefaultParagraphFont"/>
    <w:uiPriority w:val="99"/>
    <w:qFormat/>
    <w:rsid w:val="002f40b1"/>
    <w:rPr/>
  </w:style>
  <w:style w:type="character" w:styleId="Strong">
    <w:name w:val="Strong"/>
    <w:basedOn w:val="DefaultParagraphFont"/>
    <w:uiPriority w:val="22"/>
    <w:qFormat/>
    <w:rsid w:val="00400c20"/>
    <w:rPr>
      <w:b/>
      <w:bCs/>
    </w:rPr>
  </w:style>
  <w:style w:type="character" w:styleId="TekstprzypisudolnegoZnak" w:customStyle="1">
    <w:name w:val="Tekst przypisu dolnego Znak"/>
    <w:basedOn w:val="DefaultParagraphFont"/>
    <w:uiPriority w:val="99"/>
    <w:qFormat/>
    <w:rsid w:val="00103b57"/>
    <w:rPr>
      <w:sz w:val="20"/>
      <w:szCs w:val="20"/>
    </w:rPr>
  </w:style>
  <w:style w:type="character" w:styleId="Znakiprzypiswdolnychuser">
    <w:name w:val="Znaki przypisów dolnych (user)"/>
    <w:uiPriority w:val="99"/>
    <w:semiHidden/>
    <w:unhideWhenUsed/>
    <w:qFormat/>
    <w:rsid w:val="00103b57"/>
    <w:rPr>
      <w:vertAlign w:val="superscript"/>
    </w:rPr>
  </w:style>
  <w:style w:type="character" w:styleId="Znakiprzypiswdolnych">
    <w:name w:val="Znaki przypisów dolnych"/>
    <w:qFormat/>
    <w:rPr>
      <w:vertAlign w:val="superscript"/>
    </w:rPr>
  </w:style>
  <w:style w:type="character" w:styleId="FootnoteReference">
    <w:name w:val="footnote reference"/>
    <w:rPr>
      <w:vertAlign w:val="superscript"/>
    </w:rPr>
  </w:style>
  <w:style w:type="character" w:styleId="TekstprzypisukocowegoZnak" w:customStyle="1">
    <w:name w:val="Tekst przypisu końcowego Znak"/>
    <w:basedOn w:val="DefaultParagraphFont"/>
    <w:uiPriority w:val="99"/>
    <w:semiHidden/>
    <w:qFormat/>
    <w:rsid w:val="00814efe"/>
    <w:rPr>
      <w:sz w:val="20"/>
      <w:szCs w:val="20"/>
    </w:rPr>
  </w:style>
  <w:style w:type="character" w:styleId="Znakiprzypiswkocowychuser">
    <w:name w:val="Znaki przypisów końcowych (user)"/>
    <w:uiPriority w:val="99"/>
    <w:semiHidden/>
    <w:unhideWhenUsed/>
    <w:qFormat/>
    <w:rsid w:val="00814efe"/>
    <w:rPr>
      <w:vertAlign w:val="superscript"/>
    </w:rPr>
  </w:style>
  <w:style w:type="character" w:styleId="Znakiprzypiswkocowych">
    <w:name w:val="Znaki przypisów końcowych"/>
    <w:qFormat/>
    <w:rPr>
      <w:vertAlign w:val="superscript"/>
    </w:rPr>
  </w:style>
  <w:style w:type="character" w:styleId="EndnoteReference">
    <w:name w:val="endnote reference"/>
    <w:rPr>
      <w:vertAlign w:val="superscript"/>
    </w:rPr>
  </w:style>
  <w:style w:type="character" w:styleId="UnresolvedMention">
    <w:name w:val="Unresolved Mention"/>
    <w:basedOn w:val="DefaultParagraphFont"/>
    <w:uiPriority w:val="99"/>
    <w:semiHidden/>
    <w:unhideWhenUsed/>
    <w:qFormat/>
    <w:rsid w:val="003407b7"/>
    <w:rPr>
      <w:color w:val="605E5C"/>
      <w:shd w:fill="E1DFDD" w:val="clear"/>
    </w:rPr>
  </w:style>
  <w:style w:type="character" w:styleId="wtbs9" w:customStyle="1">
    <w:name w:val="wtbs9"/>
    <w:basedOn w:val="DefaultParagraphFont"/>
    <w:qFormat/>
    <w:rsid w:val="000a42bb"/>
    <w:rPr/>
  </w:style>
  <w:style w:type="character" w:styleId="czeindeksuuser">
    <w:name w:val="Łącze indeksu (user)"/>
    <w:qFormat/>
    <w:rPr/>
  </w:style>
  <w:style w:type="character" w:styleId="czeindeksu">
    <w:name w:val="Łącze indeksu"/>
    <w:qFormat/>
    <w:rPr/>
  </w:style>
  <w:style w:type="character" w:styleId="Znakinumeracji">
    <w:name w:val="Znaki numeracji"/>
    <w:qFormat/>
    <w:rPr/>
  </w:style>
  <w:style w:type="paragraph" w:styleId="Nagwek">
    <w:name w:val="Nagłówek"/>
    <w:basedOn w:val="Normal"/>
    <w:next w:val="BodyText"/>
    <w:qFormat/>
    <w:pPr>
      <w:keepNext w:val="true"/>
      <w:spacing w:before="240" w:after="120"/>
    </w:pPr>
    <w:rPr>
      <w:rFonts w:ascii="Liberation Sans" w:hAnsi="Liberation Sans" w:eastAsia="Microsoft YaHei" w:cs="Arial"/>
      <w:sz w:val="28"/>
      <w:szCs w:val="28"/>
    </w:rPr>
  </w:style>
  <w:style w:type="paragraph" w:styleId="BodyText" w:customStyle="1">
    <w:name w:val="Body Text"/>
    <w:basedOn w:val="Normal"/>
    <w:qFormat/>
    <w:rsid w:val="00d956a4"/>
    <w:pPr>
      <w:spacing w:lineRule="auto" w:line="288" w:before="0" w:after="140"/>
      <w:jc w:val="left"/>
    </w:pPr>
    <w:rPr>
      <w:rFonts w:cs="Times New Roman"/>
      <w:color w:val="00000A"/>
      <w:kern w:val="0"/>
      <w14:ligatures w14:val="none"/>
    </w:rPr>
  </w:style>
  <w:style w:type="paragraph" w:styleId="List">
    <w:name w:val="List"/>
    <w:basedOn w:val="BodyText"/>
    <w:pPr/>
    <w:rPr>
      <w:rFonts w:cs="Arial"/>
    </w:rPr>
  </w:style>
  <w:style w:type="paragraph" w:styleId="Caption">
    <w:name w:val="caption"/>
    <w:basedOn w:val="Normal"/>
    <w:next w:val="Normal"/>
    <w:uiPriority w:val="35"/>
    <w:unhideWhenUsed/>
    <w:qFormat/>
    <w:rsid w:val="00f862f3"/>
    <w:pPr>
      <w:spacing w:lineRule="auto" w:line="240" w:before="0" w:after="200"/>
      <w:jc w:val="both"/>
    </w:pPr>
    <w:rPr>
      <w:rFonts w:ascii="Arial" w:hAnsi="Arial" w:cs="Arial"/>
      <w:i/>
      <w:iCs/>
      <w:color w:themeColor="text2" w:val="242852"/>
      <w:kern w:val="0"/>
      <w14:ligatures w14:val="none"/>
    </w:rPr>
  </w:style>
  <w:style w:type="paragraph" w:styleId="Indeks">
    <w:name w:val="Indeks"/>
    <w:basedOn w:val="Normal"/>
    <w:qFormat/>
    <w:pPr>
      <w:suppressLineNumbers/>
    </w:pPr>
    <w:rPr>
      <w:rFonts w:cs="Arial"/>
    </w:rPr>
  </w:style>
  <w:style w:type="paragraph" w:styleId="Nagwekuser">
    <w:name w:val="Nagłówek (user)"/>
    <w:basedOn w:val="Normal"/>
    <w:next w:val="BodyText"/>
    <w:qFormat/>
    <w:pPr>
      <w:keepNext w:val="true"/>
      <w:spacing w:before="240" w:after="120"/>
    </w:pPr>
    <w:rPr>
      <w:rFonts w:ascii="Liberation Sans" w:hAnsi="Liberation Sans" w:eastAsia="Microsoft YaHei" w:cs="Arial"/>
      <w:sz w:val="28"/>
      <w:szCs w:val="28"/>
    </w:rPr>
  </w:style>
  <w:style w:type="paragraph" w:styleId="Indeksuser">
    <w:name w:val="Indeks (user)"/>
    <w:basedOn w:val="Normal"/>
    <w:qFormat/>
    <w:pPr>
      <w:suppressLineNumbers/>
    </w:pPr>
    <w:rPr>
      <w:rFonts w:cs="Arial"/>
    </w:rPr>
  </w:style>
  <w:style w:type="paragraph" w:styleId="Title">
    <w:name w:val="Title"/>
    <w:basedOn w:val="Normal"/>
    <w:next w:val="Normal"/>
    <w:link w:val="TytuZnak"/>
    <w:uiPriority w:val="10"/>
    <w:qFormat/>
    <w:rsid w:val="006813fd"/>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PodtytuZnak"/>
    <w:uiPriority w:val="11"/>
    <w:qFormat/>
    <w:rsid w:val="006813fd"/>
    <w:pPr/>
    <w:rPr>
      <w:rFonts w:eastAsia="" w:cs="" w:cstheme="majorBidi" w:eastAsiaTheme="majorEastAsia"/>
      <w:color w:themeColor="text1" w:themeTint="a6" w:val="595959"/>
      <w:spacing w:val="15"/>
      <w:sz w:val="28"/>
      <w:szCs w:val="28"/>
    </w:rPr>
  </w:style>
  <w:style w:type="paragraph" w:styleId="Quote">
    <w:name w:val="Quote"/>
    <w:basedOn w:val="Normal"/>
    <w:next w:val="Normal"/>
    <w:link w:val="CytatZnak"/>
    <w:uiPriority w:val="29"/>
    <w:qFormat/>
    <w:rsid w:val="006813fd"/>
    <w:pPr>
      <w:spacing w:before="160" w:after="160"/>
    </w:pPr>
    <w:rPr>
      <w:i/>
      <w:iCs/>
      <w:color w:themeColor="text1" w:themeTint="bf" w:val="404040"/>
    </w:rPr>
  </w:style>
  <w:style w:type="paragraph" w:styleId="ListParagraph">
    <w:name w:val="List Paragraph"/>
    <w:basedOn w:val="Normal"/>
    <w:uiPriority w:val="34"/>
    <w:qFormat/>
    <w:rsid w:val="006813fd"/>
    <w:pPr>
      <w:spacing w:before="0" w:after="160"/>
      <w:ind w:left="720"/>
      <w:contextualSpacing/>
    </w:pPr>
    <w:rPr/>
  </w:style>
  <w:style w:type="paragraph" w:styleId="IntenseQuote">
    <w:name w:val="Intense Quote"/>
    <w:basedOn w:val="Normal"/>
    <w:next w:val="Normal"/>
    <w:link w:val="CytatintensywnyZnak"/>
    <w:uiPriority w:val="30"/>
    <w:qFormat/>
    <w:rsid w:val="006813fd"/>
    <w:pPr>
      <w:pBdr>
        <w:top w:val="single" w:sz="4" w:space="10" w:color="374C80" w:themeColor="accent1" w:themeShade="bf"/>
        <w:bottom w:val="single" w:sz="4" w:space="10" w:color="374C80" w:themeColor="accent1" w:themeShade="bf"/>
      </w:pBdr>
      <w:spacing w:before="360" w:after="360"/>
      <w:ind w:left="864" w:right="864"/>
    </w:pPr>
    <w:rPr>
      <w:i/>
      <w:iCs/>
      <w:color w:themeColor="accent1" w:themeShade="bf" w:val="374C80"/>
    </w:rPr>
  </w:style>
  <w:style w:type="paragraph" w:styleId="IndexHeading">
    <w:name w:val="index heading"/>
    <w:basedOn w:val="Nagwekuser"/>
    <w:pPr/>
    <w:rPr/>
  </w:style>
  <w:style w:type="paragraph" w:styleId="TOCHeading">
    <w:name w:val="TOC Heading"/>
    <w:basedOn w:val="Heading1"/>
    <w:next w:val="Normal"/>
    <w:uiPriority w:val="39"/>
    <w:unhideWhenUsed/>
    <w:qFormat/>
    <w:rsid w:val="00800e4c"/>
    <w:pPr>
      <w:spacing w:lineRule="auto" w:line="259" w:before="240" w:after="0"/>
      <w:outlineLvl w:val="9"/>
    </w:pPr>
    <w:rPr>
      <w:kern w:val="0"/>
      <w:lang w:eastAsia="pl-PL"/>
      <w14:ligatures w14:val="none"/>
    </w:rPr>
  </w:style>
  <w:style w:type="paragraph" w:styleId="TOC1">
    <w:name w:val="toc 1"/>
    <w:basedOn w:val="Normal"/>
    <w:next w:val="Normal"/>
    <w:autoRedefine/>
    <w:uiPriority w:val="39"/>
    <w:unhideWhenUsed/>
    <w:rsid w:val="00800e4c"/>
    <w:pPr>
      <w:spacing w:before="0" w:after="100"/>
    </w:pPr>
    <w:rPr/>
  </w:style>
  <w:style w:type="paragraph" w:styleId="Gwkaistopkauser">
    <w:name w:val="Główka i stopka (user)"/>
    <w:basedOn w:val="Normal"/>
    <w:qFormat/>
    <w:pPr/>
    <w:rPr/>
  </w:style>
  <w:style w:type="paragraph" w:styleId="Gwkaistopka">
    <w:name w:val="Główka i stopka"/>
    <w:basedOn w:val="Normal"/>
    <w:qFormat/>
    <w:pPr/>
    <w:rPr/>
  </w:style>
  <w:style w:type="paragraph" w:styleId="Header">
    <w:name w:val="header"/>
    <w:basedOn w:val="Normal"/>
    <w:link w:val="NagwekZnak"/>
    <w:uiPriority w:val="99"/>
    <w:unhideWhenUsed/>
    <w:rsid w:val="002f40b1"/>
    <w:pPr>
      <w:tabs>
        <w:tab w:val="clear" w:pos="708"/>
        <w:tab w:val="center" w:pos="4536" w:leader="none"/>
        <w:tab w:val="right" w:pos="9072" w:leader="none"/>
      </w:tabs>
      <w:spacing w:lineRule="auto" w:line="240" w:before="0" w:after="0"/>
    </w:pPr>
    <w:rPr/>
  </w:style>
  <w:style w:type="paragraph" w:styleId="Footer">
    <w:name w:val="footer"/>
    <w:basedOn w:val="Normal"/>
    <w:link w:val="StopkaZnak"/>
    <w:uiPriority w:val="99"/>
    <w:unhideWhenUsed/>
    <w:rsid w:val="002f40b1"/>
    <w:pPr>
      <w:tabs>
        <w:tab w:val="clear" w:pos="708"/>
        <w:tab w:val="center" w:pos="4536" w:leader="none"/>
        <w:tab w:val="right" w:pos="9072" w:leader="none"/>
      </w:tabs>
      <w:spacing w:lineRule="auto" w:line="240" w:before="0" w:after="0"/>
    </w:pPr>
    <w:rPr/>
  </w:style>
  <w:style w:type="paragraph" w:styleId="NormalWeb">
    <w:name w:val="Normal (Web)"/>
    <w:basedOn w:val="Normal"/>
    <w:uiPriority w:val="99"/>
    <w:unhideWhenUsed/>
    <w:qFormat/>
    <w:rsid w:val="00400c20"/>
    <w:pPr>
      <w:spacing w:lineRule="auto" w:line="240" w:beforeAutospacing="1" w:afterAutospacing="1"/>
    </w:pPr>
    <w:rPr>
      <w:rFonts w:ascii="Times New Roman" w:hAnsi="Times New Roman" w:eastAsia="Times New Roman" w:cs="Times New Roman"/>
      <w:kern w:val="0"/>
      <w:lang w:eastAsia="pl-PL"/>
      <w14:ligatures w14:val="none"/>
    </w:rPr>
  </w:style>
  <w:style w:type="paragraph" w:styleId="NoSpacing">
    <w:name w:val="No Spacing"/>
    <w:uiPriority w:val="1"/>
    <w:qFormat/>
    <w:rsid w:val="007a7e79"/>
    <w:pPr>
      <w:widowControl/>
      <w:suppressAutoHyphens w:val="true"/>
      <w:bidi w:val="0"/>
      <w:spacing w:lineRule="auto" w:line="240" w:before="0" w:after="0"/>
      <w:jc w:val="center"/>
    </w:pPr>
    <w:rPr>
      <w:rFonts w:ascii="Aptos" w:hAnsi="Aptos" w:eastAsia="Aptos" w:cs="" w:asciiTheme="minorHAnsi" w:cstheme="minorBidi" w:eastAsiaTheme="minorHAnsi" w:hAnsiTheme="minorHAnsi"/>
      <w:color w:val="auto"/>
      <w:kern w:val="2"/>
      <w:sz w:val="24"/>
      <w:szCs w:val="24"/>
      <w:lang w:val="pl-PL" w:eastAsia="en-US" w:bidi="ar-SA"/>
      <w14:ligatures w14:val="standardContextual"/>
    </w:rPr>
  </w:style>
  <w:style w:type="paragraph" w:styleId="FootnoteText">
    <w:name w:val="footnote text"/>
    <w:basedOn w:val="Normal"/>
    <w:link w:val="TekstprzypisudolnegoZnak"/>
    <w:uiPriority w:val="99"/>
    <w:unhideWhenUsed/>
    <w:rsid w:val="00103b57"/>
    <w:pPr>
      <w:spacing w:lineRule="auto" w:line="240" w:before="0" w:after="0"/>
    </w:pPr>
    <w:rPr>
      <w:sz w:val="20"/>
      <w:szCs w:val="20"/>
    </w:rPr>
  </w:style>
  <w:style w:type="paragraph" w:styleId="EndnoteText">
    <w:name w:val="endnote text"/>
    <w:basedOn w:val="Normal"/>
    <w:link w:val="TekstprzypisukocowegoZnak"/>
    <w:uiPriority w:val="99"/>
    <w:semiHidden/>
    <w:unhideWhenUsed/>
    <w:rsid w:val="00814efe"/>
    <w:pPr>
      <w:spacing w:lineRule="auto" w:line="240" w:before="0" w:after="0"/>
    </w:pPr>
    <w:rPr>
      <w:sz w:val="20"/>
      <w:szCs w:val="20"/>
    </w:rPr>
  </w:style>
  <w:style w:type="paragraph" w:styleId="ds-markdown-paragraph" w:customStyle="1">
    <w:name w:val="ds-markdown-paragraph"/>
    <w:basedOn w:val="Normal"/>
    <w:qFormat/>
    <w:rsid w:val="006407d9"/>
    <w:pPr>
      <w:spacing w:lineRule="auto" w:line="240" w:beforeAutospacing="1" w:afterAutospacing="1"/>
      <w:jc w:val="left"/>
    </w:pPr>
    <w:rPr>
      <w:rFonts w:ascii="Times New Roman" w:hAnsi="Times New Roman" w:eastAsia="Times New Roman" w:cs="Times New Roman"/>
      <w:kern w:val="0"/>
      <w:lang w:eastAsia="pl-PL"/>
      <w14:ligatures w14:val="none"/>
    </w:rPr>
  </w:style>
  <w:style w:type="paragraph" w:styleId="TOC2">
    <w:name w:val="toc 2"/>
    <w:basedOn w:val="Normal"/>
    <w:next w:val="Normal"/>
    <w:autoRedefine/>
    <w:uiPriority w:val="39"/>
    <w:unhideWhenUsed/>
    <w:rsid w:val="003d0e11"/>
    <w:pPr>
      <w:spacing w:before="0" w:after="100"/>
      <w:ind w:left="240"/>
    </w:pPr>
    <w:rPr/>
  </w:style>
  <w:style w:type="paragraph" w:styleId="TOC3">
    <w:name w:val="toc 3"/>
    <w:basedOn w:val="Normal"/>
    <w:next w:val="Normal"/>
    <w:autoRedefine/>
    <w:uiPriority w:val="39"/>
    <w:unhideWhenUsed/>
    <w:rsid w:val="00ea7666"/>
    <w:pPr>
      <w:tabs>
        <w:tab w:val="clear" w:pos="708"/>
        <w:tab w:val="left" w:pos="1440" w:leader="none"/>
        <w:tab w:val="right" w:pos="9062" w:leader="dot"/>
      </w:tabs>
      <w:spacing w:before="0" w:after="100"/>
      <w:jc w:val="both"/>
    </w:pPr>
    <w:rPr/>
  </w:style>
  <w:style w:type="paragraph" w:styleId="TableofFigures">
    <w:name w:val="table of figures"/>
    <w:basedOn w:val="Normal"/>
    <w:next w:val="Normal"/>
    <w:uiPriority w:val="99"/>
    <w:unhideWhenUsed/>
    <w:rsid w:val="00f862f3"/>
    <w:pPr>
      <w:spacing w:before="0" w:after="0"/>
    </w:pPr>
    <w:rPr/>
  </w:style>
  <w:style w:type="paragraph" w:styleId="Standard" w:customStyle="1">
    <w:name w:val="Standard"/>
    <w:qFormat/>
    <w:rsid w:val="006c265e"/>
    <w:pPr>
      <w:widowControl/>
      <w:suppressAutoHyphens w:val="true"/>
      <w:bidi w:val="0"/>
      <w:spacing w:lineRule="auto" w:line="240" w:before="0" w:after="0"/>
      <w:jc w:val="left"/>
      <w:textAlignment w:val="baseline"/>
    </w:pPr>
    <w:rPr>
      <w:rFonts w:ascii="Arial Unicode MS" w:hAnsi="Arial Unicode MS" w:eastAsia="Arial Unicode MS" w:cs="Arial Unicode MS"/>
      <w:color w:val="000000"/>
      <w:kern w:val="2"/>
      <w:sz w:val="24"/>
      <w:szCs w:val="24"/>
      <w:lang w:val="pl-PL" w:eastAsia="pl-PL" w:bidi="ar-SA"/>
      <w14:ligatures w14:val="none"/>
    </w:rPr>
  </w:style>
  <w:style w:type="paragraph" w:styleId="Textbody" w:customStyle="1">
    <w:name w:val="Text body"/>
    <w:basedOn w:val="Standard"/>
    <w:qFormat/>
    <w:rsid w:val="006c265e"/>
    <w:pPr>
      <w:spacing w:lineRule="auto" w:line="288" w:before="0" w:after="140"/>
    </w:pPr>
    <w:rPr/>
  </w:style>
  <w:style w:type="paragraph" w:styleId="Zawartotabeliuser" w:customStyle="1">
    <w:name w:val="Zawartość tabeli (user)"/>
    <w:basedOn w:val="Standard"/>
    <w:qFormat/>
    <w:rsid w:val="006c265e"/>
    <w:pPr/>
    <w:rPr/>
  </w:style>
  <w:style w:type="paragraph" w:styleId="TOC4">
    <w:name w:val="toc 4"/>
    <w:basedOn w:val="Normal"/>
    <w:next w:val="Normal"/>
    <w:autoRedefine/>
    <w:uiPriority w:val="39"/>
    <w:unhideWhenUsed/>
    <w:rsid w:val="00e73cc5"/>
    <w:pPr>
      <w:spacing w:before="0" w:after="100"/>
      <w:ind w:left="720"/>
      <w:jc w:val="left"/>
    </w:pPr>
    <w:rPr>
      <w:rFonts w:eastAsia="" w:eastAsiaTheme="minorEastAsia"/>
      <w:lang w:eastAsia="pl-PL"/>
    </w:rPr>
  </w:style>
  <w:style w:type="paragraph" w:styleId="TOC5">
    <w:name w:val="toc 5"/>
    <w:basedOn w:val="Normal"/>
    <w:next w:val="Normal"/>
    <w:autoRedefine/>
    <w:uiPriority w:val="39"/>
    <w:unhideWhenUsed/>
    <w:rsid w:val="00e73cc5"/>
    <w:pPr>
      <w:spacing w:before="0" w:after="100"/>
      <w:ind w:left="960"/>
      <w:jc w:val="left"/>
    </w:pPr>
    <w:rPr>
      <w:rFonts w:eastAsia="" w:eastAsiaTheme="minorEastAsia"/>
      <w:lang w:eastAsia="pl-PL"/>
    </w:rPr>
  </w:style>
  <w:style w:type="paragraph" w:styleId="TOC6">
    <w:name w:val="toc 6"/>
    <w:basedOn w:val="Normal"/>
    <w:next w:val="Normal"/>
    <w:autoRedefine/>
    <w:uiPriority w:val="39"/>
    <w:unhideWhenUsed/>
    <w:rsid w:val="00e73cc5"/>
    <w:pPr>
      <w:spacing w:before="0" w:after="100"/>
      <w:ind w:left="1200"/>
      <w:jc w:val="left"/>
    </w:pPr>
    <w:rPr>
      <w:rFonts w:eastAsia="" w:eastAsiaTheme="minorEastAsia"/>
      <w:lang w:eastAsia="pl-PL"/>
    </w:rPr>
  </w:style>
  <w:style w:type="paragraph" w:styleId="TOC7">
    <w:name w:val="toc 7"/>
    <w:basedOn w:val="Normal"/>
    <w:next w:val="Normal"/>
    <w:autoRedefine/>
    <w:uiPriority w:val="39"/>
    <w:unhideWhenUsed/>
    <w:rsid w:val="00e73cc5"/>
    <w:pPr>
      <w:spacing w:before="0" w:after="100"/>
      <w:ind w:left="1440"/>
      <w:jc w:val="left"/>
    </w:pPr>
    <w:rPr>
      <w:rFonts w:eastAsia="" w:eastAsiaTheme="minorEastAsia"/>
      <w:lang w:eastAsia="pl-PL"/>
    </w:rPr>
  </w:style>
  <w:style w:type="paragraph" w:styleId="TOC8">
    <w:name w:val="toc 8"/>
    <w:basedOn w:val="Normal"/>
    <w:next w:val="Normal"/>
    <w:autoRedefine/>
    <w:uiPriority w:val="39"/>
    <w:unhideWhenUsed/>
    <w:rsid w:val="00e73cc5"/>
    <w:pPr>
      <w:spacing w:before="0" w:after="100"/>
      <w:ind w:left="1680"/>
      <w:jc w:val="left"/>
    </w:pPr>
    <w:rPr>
      <w:rFonts w:eastAsia="" w:eastAsiaTheme="minorEastAsia"/>
      <w:lang w:eastAsia="pl-PL"/>
    </w:rPr>
  </w:style>
  <w:style w:type="paragraph" w:styleId="TOC9">
    <w:name w:val="toc 9"/>
    <w:basedOn w:val="Normal"/>
    <w:next w:val="Normal"/>
    <w:autoRedefine/>
    <w:uiPriority w:val="39"/>
    <w:unhideWhenUsed/>
    <w:rsid w:val="00e73cc5"/>
    <w:pPr>
      <w:spacing w:before="0" w:after="100"/>
      <w:ind w:left="1920"/>
      <w:jc w:val="left"/>
    </w:pPr>
    <w:rPr>
      <w:rFonts w:eastAsia="" w:eastAsiaTheme="minorEastAsia"/>
      <w:lang w:eastAsia="pl-PL"/>
    </w:rPr>
  </w:style>
  <w:style w:type="numbering" w:styleId="Bezlistyuser" w:default="1">
    <w:name w:val="Bez listy (user)"/>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39"/>
    <w:rsid w:val="00bd43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asiatki4akcent3">
    <w:name w:val="Grid Table 4 Accent 3"/>
    <w:basedOn w:val="Standardowy"/>
    <w:uiPriority w:val="49"/>
    <w:rsid w:val="009259b6"/>
    <w:pPr>
      <w:spacing w:after="0" w:line="240" w:lineRule="auto"/>
    </w:pPr>
    <w:tblPr>
      <w:tblStyleRowBandSize w:val="1"/>
      <w:tblStyleColBandSize w:val="1"/>
      <w:tblBorders>
        <w:top w:val="single" w:color="7EB1E6" w:themeColor="accent3" w:themeTint="99" w:sz="4" w:space="0"/>
        <w:left w:val="single" w:color="7EB1E6" w:themeColor="accent3" w:themeTint="99" w:sz="4" w:space="0"/>
        <w:bottom w:val="single" w:color="7EB1E6" w:themeColor="accent3" w:themeTint="99" w:sz="4" w:space="0"/>
        <w:right w:val="single" w:color="7EB1E6" w:themeColor="accent3" w:themeTint="99" w:sz="4" w:space="0"/>
        <w:insideH w:val="single" w:color="7EB1E6" w:themeColor="accent3" w:themeTint="99" w:sz="4" w:space="0"/>
        <w:insideV w:val="single" w:color="7EB1E6" w:themeColor="accent3" w:themeTint="99" w:sz="4" w:space="0"/>
      </w:tblBorders>
    </w:tblPr>
    <w:tblStylePr w:type="firstRow">
      <w:rPr>
        <w:b/>
        <w:bCs/>
        <w:color w:themeColor="background1"/>
      </w:rPr>
      <w:tblPr/>
      <w:tcPr>
        <w:tcBorders>
          <w:top w:val="single" w:color="297FD5" w:themeColor="accent3" w:sz="4" w:space="0"/>
          <w:left w:val="single" w:color="297FD5" w:themeColor="accent3" w:sz="4" w:space="0"/>
          <w:bottom w:val="single" w:color="297FD5" w:themeColor="accent3" w:sz="4" w:space="0"/>
          <w:right w:val="single" w:color="297FD5" w:themeColor="accent3" w:sz="4" w:space="0"/>
          <w:insideH w:val="nil"/>
          <w:insideV w:val="nil"/>
        </w:tcBorders>
        <w:shd w:val="clear" w:color="auto" w:fill="297FD5" w:themeFill="accent3"/>
      </w:tcPr>
    </w:tblStylePr>
    <w:tblStylePr w:type="lastRow">
      <w:rPr>
        <w:b/>
        <w:bCs/>
      </w:rPr>
      <w:tblPr/>
      <w:tcPr>
        <w:tcBorders>
          <w:top w:val="double" w:color="297FD5" w:themeColor="accent3" w:sz="4" w:space="0"/>
        </w:tcBorders>
      </w:tcPr>
    </w:tblStylePr>
    <w:tblStylePr w:type="firstCol">
      <w:rPr>
        <w:b/>
        <w:bCs/>
      </w:rPr>
      <w:tblPr/>
    </w:tblStylePr>
    <w:tblStylePr w:type="lastCol">
      <w:rPr>
        <w:b/>
        <w:bCs/>
      </w:rPr>
      <w:tbl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Tabelasiatki5ciemnaakcent1">
    <w:name w:val="Grid Table 5 Dark Accent 1"/>
    <w:basedOn w:val="Standardowy"/>
    <w:uiPriority w:val="50"/>
    <w:rsid w:val="009259b6"/>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DFEF" w:themeFill="accent1"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A66AC" w:themeFill="accent1"/>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A66AC" w:themeFill="accent1"/>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A66AC" w:themeFill="accent1"/>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google.com/search?client=firefox-b-d&amp;sca_esv=99331a272fb6ecba&amp;cs=0&amp;sxsrf=AE3TifO01awTRhfHaZw7JTCATVeDGGD5nQ%3A1760010651485&amp;q=focus+group&amp;sa=X&amp;ved=2ahUKEwjutZHNhpeQAxU2NvsDHc6LPZYQxccNegQIAxAB&amp;mstk=AUtExfDTb2f6uq-cqWL9k6TKxr8xds3jfPJlS60w-GXp4-uyrFJTPEZ337kKRQ3T7U4cFfbzj8FThXHEP0o35zWteyX8IMgxC_XR4R0nXNOP-Tekn2a431s0RPnZ40gI7zYnb4CO-zSJTTgdAIdWuRU3t0KpWDLvTDF7N2DaYPdFBhewUz4&amp;csui=3" TargetMode="External"/><Relationship Id="rId4" Type="http://schemas.openxmlformats.org/officeDocument/2006/relationships/chart" Target="charts/chart1.xml"/><Relationship Id="rId5" Type="http://schemas.openxmlformats.org/officeDocument/2006/relationships/hyperlink" Target="http://www.stat.gov.pl/"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chart" Target="charts/chart2.xml"/><Relationship Id="rId9" Type="http://schemas.openxmlformats.org/officeDocument/2006/relationships/chart" Target="charts/chart3.xml"/><Relationship Id="rId10" Type="http://schemas.openxmlformats.org/officeDocument/2006/relationships/chart" Target="charts/chart4.xml"/><Relationship Id="rId11" Type="http://schemas.openxmlformats.org/officeDocument/2006/relationships/hyperlink" Target="http://www.stat.gov.pl/" TargetMode="External"/><Relationship Id="rId12" Type="http://schemas.openxmlformats.org/officeDocument/2006/relationships/chart" Target="charts/chart5.xml"/><Relationship Id="rId13" Type="http://schemas.openxmlformats.org/officeDocument/2006/relationships/hyperlink" Target="http://www.stat.gov.pl/" TargetMode="External"/><Relationship Id="rId14" Type="http://schemas.openxmlformats.org/officeDocument/2006/relationships/chart" Target="charts/chart6.xml"/><Relationship Id="rId15" Type="http://schemas.openxmlformats.org/officeDocument/2006/relationships/hyperlink" Target="https://bychawa.pl/twoja-opinia-ma-znaczenie-wypelnij-nasza-ankiete-dotyczaca-opinii-i-potrzeb-mieszkancow-gminy-bychawa-w-zakresie-uslug-spolecznych/" TargetMode="External"/><Relationship Id="rId16" Type="http://schemas.openxmlformats.org/officeDocument/2006/relationships/hyperlink" Target="https://www.google.com/search?client=firefox-b-d&amp;cs=0&amp;sca_esv=76b1d1510d0b1bcc&amp;sxsrf=AE3TifMgn432Z2I3ciXkdyIkupy43TwQkQ%3A1760449362636&amp;q=Samorz&#261;dowe+Przedszkole+Nr+1&amp;sa=X&amp;ved=2ahUKEwjpo9_26KOQAxWYzwIHHaIWDKYQxccNegQIIhAC&amp;mstk=AUtExfDrdA-8VJ5_D3v3N42IDO5LXKsX0J7I4ReGhNkEMu1sByXabA4jPT7G70zFwItUBzwXubH6tbMX5UrRwZ4I3fFRbq-TF3r7uoy6cYM3qBx8IBpc08vyJ7VWpI0a9MBktbxl2GOY5-ym9VDjIAaIfdjP9TJUum5qaaRYmm1VmDzUEDY&amp;csui=3" TargetMode="External"/><Relationship Id="rId17" Type="http://schemas.openxmlformats.org/officeDocument/2006/relationships/hyperlink" Target="https://www.google.com/search?client=firefox-b-d&amp;cs=0&amp;sca_esv=76b1d1510d0b1bcc&amp;sxsrf=AE3TifMgn432Z2I3ciXkdyIkupy43TwQkQ%3A1760449362636&amp;q=Akademia+Poziomkowa&amp;sa=X&amp;ved=2ahUKEwjpo9_26KOQAxWYzwIHHaIWDKYQxccNegQIOBAC&amp;mstk=AUtExfDrdA-8VJ5_D3v3N42IDO5LXKsX0J7I4ReGhNkEMu1sByXabA4jPT7G70zFwItUBzwXubH6tbMX5UrRwZ4I3fFRbq-TF3r7uoy6cYM3qBx8IBpc08vyJ7VWpI0a9MBktbxl2GOY5-ym9VDjIAaIfdjP9TJUum5qaaRYmm1VmDzUEDY&amp;csui=3" TargetMode="External"/><Relationship Id="rId18" Type="http://schemas.openxmlformats.org/officeDocument/2006/relationships/hyperlink" Target="https://www.google.com/search?client=firefox-b-d&amp;cs=0&amp;sca_esv=76b1d1510d0b1bcc&amp;sxsrf=AE3TifMgn432Z2I3ciXkdyIkupy43TwQkQ%3A1760449362636&amp;q=Gminny+&#379;&#322;obek+%22Ma&#322;y+Mi&#347;%22&amp;sa=X&amp;ved=2ahUKEwjpo9_26KOQAxWYzwIHHaIWDKYQxccNegQIEBAC&amp;mstk=AUtExfDrdA-8VJ5_D3v3N42IDO5LXKsX0J7I4ReGhNkEMu1sByXabA4jPT7G70zFwItUBzwXubH6tbMX5UrRwZ4I3fFRbq-TF3r7uoy6cYM3qBx8IBpc08vyJ7VWpI0a9MBktbxl2GOY5-ym9VDjIAaIfdjP9TJUum5qaaRYmm1VmDzUEDY&amp;csui=3" TargetMode="External"/><Relationship Id="rId19" Type="http://schemas.openxmlformats.org/officeDocument/2006/relationships/hyperlink" Target="https://www.google.com/search?client=firefox-b-d&amp;cs=0&amp;sca_esv=76b1d1510d0b1bcc&amp;sxsrf=AE3TifMgn432Z2I3ciXkdyIkupy43TwQkQ%3A1760449362636&amp;q=&#379;&#322;obek+&#8222;Po-Ziomki&#8221;&amp;sa=X&amp;ved=2ahUKEwjpo9_26KOQAxWYzwIHHaIWDKYQxccNegQIOxAC&amp;mstk=AUtExfDrdA-8VJ5_D3v3N42IDO5LXKsX0J7I4ReGhNkEMu1sByXabA4jPT7G70zFwItUBzwXubH6tbMX5UrRwZ4I3fFRbq-TF3r7uoy6cYM3qBx8IBpc08vyJ7VWpI0a9MBktbxl2GOY5-ym9VDjIAaIfdjP9TJUum5qaaRYmm1VmDzUEDY&amp;csui=3"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footnotes" Target="footnotes.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pl.wikipedia.org/wiki/Respondent" TargetMode="External"/><Relationship Id="rId2" Type="http://schemas.openxmlformats.org/officeDocument/2006/relationships/hyperlink" Target="https://pl.wikipedia.org/wiki/Kwestionariusz" TargetMode="External"/><Relationship Id="rId3" Type="http://schemas.openxmlformats.org/officeDocument/2006/relationships/hyperlink" Target="https://bychawa.pl/twoja-opinia-ma-znaczenie-wypelnij-nasza-ankiete-dotyczaca-opinii-i-potrzeb-mieszkancow-gminy-bychawa-w-zakresie-uslug-spolecznych/" TargetMode="External"/><Relationship Id="rId4" Type="http://schemas.openxmlformats.org/officeDocument/2006/relationships/hyperlink" Target="http://www.bdl.gus.gov.pll/" TargetMode="External"/><Relationship Id="rId5" Type="http://schemas.openxmlformats.org/officeDocument/2006/relationships/hyperlink" Target="https://www.polskawliczbach.pl/gmina_Bychawa%20-%20dost&#281;p" TargetMode="External"/>
</Relationships>
</file>

<file path=word/_rels/header2.xml.rels><?xml version="1.0" encoding="UTF-8"?>
<Relationships xmlns="http://schemas.openxmlformats.org/package/2006/relationships"><Relationship Id="rId1" Type="http://schemas.openxmlformats.org/officeDocument/2006/relationships/image" Target="media/image4.jpeg"/>
</Relationships>
</file>

<file path=word/_rels/header3.xml.rels><?xml version="1.0" encoding="UTF-8"?>
<Relationships xmlns="http://schemas.openxmlformats.org/package/2006/relationships"><Relationship Id="rId1" Type="http://schemas.openxmlformats.org/officeDocument/2006/relationships/image" Target="media/image4.jpeg"/>
</Relationships>
</file>

<file path=word/charts/_rels/chart5.xml.rels><?xml version="1.0" encoding="UTF-8"?>
<Relationships xmlns="http://schemas.openxmlformats.org/package/2006/relationships"><Relationship Id="rId1" Type="http://schemas.openxmlformats.org/officeDocument/2006/relationships/oleObject" Target="../embeddings/oleObject1.bin"/>
</Relationships>
</file>

<file path=word/charts/_rels/chart6.xml.rels><?xml version="1.0" encoding="UTF-8"?>
<Relationships xmlns="http://schemas.openxmlformats.org/package/2006/relationships"><Relationship Id="rId1" Type="http://schemas.openxmlformats.org/officeDocument/2006/relationships/oleObject" Target="../embeddings/oleObject2.bin"/>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c:chart>
    <c:autoTitleDeleted val="1"/>
    <c:plotArea>
      <c:barChart>
        <c:barDir val="col"/>
        <c:grouping val="stacked"/>
        <c:varyColors val="0"/>
        <c:ser>
          <c:idx val="0"/>
          <c:order val="0"/>
          <c:tx>
            <c:strRef>
              <c:f>label 0</c:f>
              <c:strCache>
                <c:ptCount val="1"/>
                <c:pt idx="0">
                  <c:v>mężczyźni</c:v>
                </c:pt>
              </c:strCache>
            </c:strRef>
          </c:tx>
          <c:spPr>
            <a:solidFill>
              <a:srgbClr val="297fd5"/>
            </a:solidFill>
            <a:ln w="0">
              <a:noFill/>
            </a:ln>
          </c:spPr>
          <c:invertIfNegative val="0"/>
          <c:dLbls>
            <c:numFmt formatCode="#,##0" sourceLinked="0"/>
            <c:txPr>
              <a:bodyPr rot="-5400000" wrap="square"/>
              <a:lstStyle/>
              <a:p>
                <a:pPr>
                  <a:defRPr b="0" sz="900" strike="noStrike" u="none">
                    <a:solidFill>
                      <a:srgbClr val="000000"/>
                    </a:solidFill>
                    <a:uFillTx/>
                    <a:latin typeface="Arial"/>
                  </a:defRPr>
                </a:pPr>
              </a:p>
            </c:txPr>
            <c:dLblPos val="ctr"/>
            <c:showLegendKey val="0"/>
            <c:showVal val="1"/>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0</c:f>
              <c:numCache>
                <c:formatCode>General</c:formatCode>
                <c:ptCount val="11"/>
                <c:pt idx="0">
                  <c:v>5856</c:v>
                </c:pt>
                <c:pt idx="1">
                  <c:v>5804</c:v>
                </c:pt>
                <c:pt idx="2">
                  <c:v>5737</c:v>
                </c:pt>
                <c:pt idx="3">
                  <c:v>5722</c:v>
                </c:pt>
                <c:pt idx="4">
                  <c:v>5684</c:v>
                </c:pt>
                <c:pt idx="5">
                  <c:v>5603</c:v>
                </c:pt>
                <c:pt idx="6">
                  <c:v>5390</c:v>
                </c:pt>
                <c:pt idx="7">
                  <c:v>5342</c:v>
                </c:pt>
                <c:pt idx="8">
                  <c:v>5267</c:v>
                </c:pt>
                <c:pt idx="9">
                  <c:v>5214</c:v>
                </c:pt>
                <c:pt idx="10">
                  <c:v>5153</c:v>
                </c:pt>
              </c:numCache>
            </c:numRef>
          </c:val>
        </c:ser>
        <c:ser>
          <c:idx val="1"/>
          <c:order val="1"/>
          <c:tx>
            <c:strRef>
              <c:f>label 1</c:f>
              <c:strCache>
                <c:ptCount val="1"/>
                <c:pt idx="0">
                  <c:v>kobiety</c:v>
                </c:pt>
              </c:strCache>
            </c:strRef>
          </c:tx>
          <c:spPr>
            <a:solidFill>
              <a:srgbClr val="a3b9e4"/>
            </a:solidFill>
            <a:ln w="0">
              <a:noFill/>
            </a:ln>
          </c:spPr>
          <c:invertIfNegative val="0"/>
          <c:dLbls>
            <c:numFmt formatCode="#,##0" sourceLinked="0"/>
            <c:txPr>
              <a:bodyPr rot="-5400000" wrap="square"/>
              <a:lstStyle/>
              <a:p>
                <a:pPr>
                  <a:defRPr b="0" sz="900" strike="noStrike" u="none">
                    <a:solidFill>
                      <a:srgbClr val="000000"/>
                    </a:solidFill>
                    <a:uFillTx/>
                    <a:latin typeface="Arial"/>
                  </a:defRPr>
                </a:pPr>
              </a:p>
            </c:txPr>
            <c:dLblPos val="ctr"/>
            <c:showLegendKey val="0"/>
            <c:showVal val="1"/>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1</c:f>
              <c:numCache>
                <c:formatCode>General</c:formatCode>
                <c:ptCount val="11"/>
                <c:pt idx="0">
                  <c:v>6192</c:v>
                </c:pt>
                <c:pt idx="1">
                  <c:v>6129</c:v>
                </c:pt>
                <c:pt idx="2">
                  <c:v>6095</c:v>
                </c:pt>
                <c:pt idx="3">
                  <c:v>6039</c:v>
                </c:pt>
                <c:pt idx="4">
                  <c:v>6025</c:v>
                </c:pt>
                <c:pt idx="5">
                  <c:v>5992</c:v>
                </c:pt>
                <c:pt idx="6">
                  <c:v>5820</c:v>
                </c:pt>
                <c:pt idx="7">
                  <c:v>5756</c:v>
                </c:pt>
                <c:pt idx="8">
                  <c:v>5709</c:v>
                </c:pt>
                <c:pt idx="9">
                  <c:v>5649</c:v>
                </c:pt>
                <c:pt idx="10">
                  <c:v>5571</c:v>
                </c:pt>
              </c:numCache>
            </c:numRef>
          </c:val>
        </c:ser>
        <c:gapWidth val="150"/>
        <c:overlap val="100"/>
        <c:axId val="43205263"/>
        <c:axId val="418359"/>
      </c:barChart>
      <c:lineChart>
        <c:grouping val="stacked"/>
        <c:varyColors val="0"/>
        <c:ser>
          <c:idx val="2"/>
          <c:order val="2"/>
          <c:tx>
            <c:strRef>
              <c:f>label 2</c:f>
              <c:strCache>
                <c:ptCount val="1"/>
                <c:pt idx="0">
                  <c:v>ogółem</c:v>
                </c:pt>
              </c:strCache>
            </c:strRef>
          </c:tx>
          <c:spPr>
            <a:solidFill>
              <a:srgbClr val="2169b0"/>
            </a:solidFill>
            <a:ln cap="rnd" w="28440">
              <a:solidFill>
                <a:srgbClr val="2169b0"/>
              </a:solidFill>
              <a:round/>
            </a:ln>
          </c:spPr>
          <c:marker>
            <c:symbol val="none"/>
          </c:marker>
          <c:dLbls>
            <c:numFmt formatCode="#,##0" sourceLinked="0"/>
            <c:txPr>
              <a:bodyPr wrap="square"/>
              <a:lstStyle/>
              <a:p>
                <a:pPr>
                  <a:defRPr b="0" sz="900" strike="noStrike" u="none">
                    <a:solidFill>
                      <a:srgbClr val="000000"/>
                    </a:solidFill>
                    <a:uFillTx/>
                    <a:latin typeface="Arial"/>
                  </a:defRPr>
                </a:pPr>
              </a:p>
            </c:txPr>
            <c:dLblPos val="t"/>
            <c:showLegendKey val="0"/>
            <c:showVal val="1"/>
            <c:showCatName val="0"/>
            <c:showSerName val="0"/>
            <c:showPercent val="0"/>
            <c:separator>; </c:separator>
            <c:showLeaderLines val="1"/>
            <c:leaderLines>
              <c:spPr>
                <a:ln cap="rnd" w="28440">
                  <a:solidFill>
                    <a:srgbClr val="000000"/>
                  </a:solidFill>
                </a:ln>
              </c:spPr>
            </c:leaderLines>
            <c:extLst>
              <c:ext xmlns:c15="http://schemas.microsoft.com/office/drawing/2012/chart" uri="{CE6537A1-D6FC-4f65-9D91-7224C49458BB}">
                <c15:showLeaderLines val="1"/>
              </c:ext>
            </c:extLst>
          </c:dLbls>
          <c:cat>
            <c:strRef>
              <c:f>categories</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2</c:f>
              <c:numCache>
                <c:formatCode>General</c:formatCode>
                <c:ptCount val="11"/>
                <c:pt idx="0">
                  <c:v>12048</c:v>
                </c:pt>
                <c:pt idx="1">
                  <c:v>11933</c:v>
                </c:pt>
                <c:pt idx="2">
                  <c:v>11832</c:v>
                </c:pt>
                <c:pt idx="3">
                  <c:v>11761</c:v>
                </c:pt>
                <c:pt idx="4">
                  <c:v>11709</c:v>
                </c:pt>
                <c:pt idx="5">
                  <c:v>11595</c:v>
                </c:pt>
                <c:pt idx="6">
                  <c:v>11210</c:v>
                </c:pt>
                <c:pt idx="7">
                  <c:v>11098</c:v>
                </c:pt>
                <c:pt idx="8">
                  <c:v>10976</c:v>
                </c:pt>
                <c:pt idx="9">
                  <c:v>10863</c:v>
                </c:pt>
                <c:pt idx="10">
                  <c:v>10724</c:v>
                </c:pt>
              </c:numCache>
            </c:numRef>
          </c:val>
          <c:smooth val="0"/>
        </c:ser>
        <c:hiLowLines>
          <c:spPr>
            <a:ln w="0">
              <a:noFill/>
            </a:ln>
          </c:spPr>
        </c:hiLowLines>
        <c:marker val="0"/>
        <c:axId val="43205263"/>
        <c:axId val="418359"/>
      </c:lineChart>
      <c:catAx>
        <c:axId val="4320526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trike="noStrike" u="none">
                <a:solidFill>
                  <a:srgbClr val="000000"/>
                </a:solidFill>
                <a:uFillTx/>
                <a:latin typeface="Arial"/>
              </a:defRPr>
            </a:pPr>
          </a:p>
        </c:txPr>
        <c:crossAx val="418359"/>
        <c:crosses val="autoZero"/>
        <c:auto val="1"/>
        <c:lblAlgn val="ctr"/>
        <c:lblOffset val="100"/>
        <c:noMultiLvlLbl val="0"/>
      </c:catAx>
      <c:valAx>
        <c:axId val="418359"/>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trike="noStrike" u="none">
                <a:solidFill>
                  <a:srgbClr val="000000"/>
                </a:solidFill>
                <a:uFillTx/>
                <a:latin typeface="Arial"/>
              </a:defRPr>
            </a:pPr>
          </a:p>
        </c:txPr>
        <c:crossAx val="43205263"/>
        <c:crosses val="autoZero"/>
        <c:crossBetween val="between"/>
      </c:valAx>
      <c:spPr>
        <a:noFill/>
        <a:ln w="0">
          <a:noFill/>
        </a:ln>
      </c:spPr>
    </c:plotArea>
    <c:legend>
      <c:legendPos val="b"/>
      <c:overlay val="0"/>
      <c:spPr>
        <a:noFill/>
        <a:ln w="0">
          <a:noFill/>
        </a:ln>
      </c:spPr>
      <c:txPr>
        <a:bodyPr/>
        <a:lstStyle/>
        <a:p>
          <a:pPr>
            <a:defRPr b="0" sz="900" strike="noStrike" u="none">
              <a:solidFill>
                <a:srgbClr val="000000"/>
              </a:solidFill>
              <a:uFillTx/>
              <a:latin typeface="Arial"/>
            </a:defRPr>
          </a:pPr>
        </a:p>
      </c:txPr>
    </c:legend>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c:chart>
    <c:autoTitleDeleted val="1"/>
    <c:plotArea>
      <c:lineChart>
        <c:grouping val="standard"/>
        <c:varyColors val="0"/>
        <c:ser>
          <c:idx val="0"/>
          <c:order val="0"/>
          <c:tx>
            <c:strRef>
              <c:f>label 0</c:f>
              <c:strCache>
                <c:ptCount val="1"/>
                <c:pt idx="0">
                  <c:v>saldo migracji ogółem na 1000 ludności</c:v>
                </c:pt>
              </c:strCache>
            </c:strRef>
          </c:tx>
          <c:spPr>
            <a:solidFill>
              <a:srgbClr val="2169b0"/>
            </a:solidFill>
            <a:ln cap="rnd" w="28440">
              <a:solidFill>
                <a:srgbClr val="2169b0"/>
              </a:solidFill>
              <a:round/>
            </a:ln>
          </c:spPr>
          <c:marker>
            <c:symbol val="none"/>
          </c:marker>
          <c:dLbls>
            <c:txPr>
              <a:bodyPr wrap="square"/>
              <a:lstStyle/>
              <a:p>
                <a:pPr>
                  <a:defRPr b="0" sz="1000" strike="noStrike" u="none">
                    <a:solidFill>
                      <a:srgbClr val="000000"/>
                    </a:solidFill>
                    <a:uFillTx/>
                    <a:latin typeface="Aptos"/>
                  </a:defRPr>
                </a:pPr>
              </a:p>
            </c:txPr>
            <c:dLblPos val="r"/>
            <c:showLegendKey val="0"/>
            <c:showVal val="0"/>
            <c:showCatName val="0"/>
            <c:showSerName val="0"/>
            <c:showPercent val="0"/>
            <c:separator>; </c:separator>
            <c:showLeaderLines val="1"/>
            <c:leaderLines>
              <c:spPr>
                <a:ln cap="rnd" w="28440">
                  <a:solidFill>
                    <a:srgbClr val="000000"/>
                  </a:solidFill>
                </a:ln>
              </c:spPr>
            </c:leaderLines>
            <c:extLst>
              <c:ext xmlns:c15="http://schemas.microsoft.com/office/drawing/2012/chart" uri="{CE6537A1-D6FC-4f65-9D91-7224C49458BB}">
                <c15:showLeaderLines val="1"/>
              </c:ext>
            </c:extLst>
          </c:dLbls>
          <c:cat>
            <c:strRef>
              <c:f>categories</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0</c:f>
              <c:numCache>
                <c:formatCode>General</c:formatCode>
                <c:ptCount val="11"/>
                <c:pt idx="0">
                  <c:v>-4.99</c:v>
                </c:pt>
                <c:pt idx="1">
                  <c:v>0</c:v>
                </c:pt>
                <c:pt idx="2">
                  <c:v>-2.77</c:v>
                </c:pt>
                <c:pt idx="3">
                  <c:v>-3.82</c:v>
                </c:pt>
                <c:pt idx="4">
                  <c:v>-4.18</c:v>
                </c:pt>
                <c:pt idx="5">
                  <c:v>-7.98</c:v>
                </c:pt>
                <c:pt idx="6">
                  <c:v>-2.84</c:v>
                </c:pt>
                <c:pt idx="7">
                  <c:v>-7.36</c:v>
                </c:pt>
                <c:pt idx="8">
                  <c:v>-5.63</c:v>
                </c:pt>
                <c:pt idx="9">
                  <c:v>-5.12</c:v>
                </c:pt>
                <c:pt idx="10">
                  <c:v>-4.71</c:v>
                </c:pt>
              </c:numCache>
            </c:numRef>
          </c:val>
          <c:smooth val="0"/>
        </c:ser>
        <c:ser>
          <c:idx val="1"/>
          <c:order val="1"/>
          <c:tx>
            <c:strRef>
              <c:f>label 1</c:f>
              <c:strCache>
                <c:ptCount val="1"/>
                <c:pt idx="0">
                  <c:v>saldo migracji wewnętrznych na 1000 ludności</c:v>
                </c:pt>
              </c:strCache>
            </c:strRef>
          </c:tx>
          <c:spPr>
            <a:solidFill>
              <a:srgbClr val="297fd5"/>
            </a:solidFill>
            <a:ln cap="rnd" w="28440">
              <a:solidFill>
                <a:srgbClr val="297fd5"/>
              </a:solidFill>
              <a:round/>
            </a:ln>
          </c:spPr>
          <c:marker>
            <c:symbol val="none"/>
          </c:marker>
          <c:dLbls>
            <c:txPr>
              <a:bodyPr wrap="square"/>
              <a:lstStyle/>
              <a:p>
                <a:pPr>
                  <a:defRPr b="0" sz="1000" strike="noStrike" u="none">
                    <a:solidFill>
                      <a:srgbClr val="000000"/>
                    </a:solidFill>
                    <a:uFillTx/>
                    <a:latin typeface="Aptos"/>
                  </a:defRPr>
                </a:pPr>
              </a:p>
            </c:txPr>
            <c:dLblPos val="r"/>
            <c:showLegendKey val="0"/>
            <c:showVal val="0"/>
            <c:showCatName val="0"/>
            <c:showSerName val="0"/>
            <c:showPercent val="0"/>
            <c:separator>; </c:separator>
            <c:showLeaderLines val="1"/>
            <c:leaderLines>
              <c:spPr>
                <a:ln cap="rnd" w="28440">
                  <a:solidFill>
                    <a:srgbClr val="000000"/>
                  </a:solidFill>
                </a:ln>
              </c:spPr>
            </c:leaderLines>
            <c:extLst>
              <c:ext xmlns:c15="http://schemas.microsoft.com/office/drawing/2012/chart" uri="{CE6537A1-D6FC-4f65-9D91-7224C49458BB}">
                <c15:showLeaderLines val="1"/>
              </c:ext>
            </c:extLst>
          </c:dLbls>
          <c:cat>
            <c:strRef>
              <c:f>categories</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1</c:f>
              <c:numCache>
                <c:formatCode>General</c:formatCode>
                <c:ptCount val="11"/>
                <c:pt idx="0">
                  <c:v>-4.4</c:v>
                </c:pt>
                <c:pt idx="1">
                  <c:v>-3.8</c:v>
                </c:pt>
                <c:pt idx="2">
                  <c:v>-2.8</c:v>
                </c:pt>
                <c:pt idx="3">
                  <c:v>-3.7</c:v>
                </c:pt>
                <c:pt idx="4">
                  <c:v>-3.4</c:v>
                </c:pt>
                <c:pt idx="5">
                  <c:v>-6.9</c:v>
                </c:pt>
                <c:pt idx="6">
                  <c:v>-2.6</c:v>
                </c:pt>
                <c:pt idx="7">
                  <c:v>-6</c:v>
                </c:pt>
                <c:pt idx="8">
                  <c:v>-4.6</c:v>
                </c:pt>
                <c:pt idx="9">
                  <c:v>-4.8</c:v>
                </c:pt>
                <c:pt idx="10">
                  <c:v>-3.2</c:v>
                </c:pt>
              </c:numCache>
            </c:numRef>
          </c:val>
          <c:smooth val="0"/>
        </c:ser>
        <c:ser>
          <c:idx val="2"/>
          <c:order val="2"/>
          <c:tx>
            <c:strRef>
              <c:f>label 2</c:f>
              <c:strCache>
                <c:ptCount val="1"/>
                <c:pt idx="0">
                  <c:v>saldo migracji zagranicznych na 1000 ludności</c:v>
                </c:pt>
              </c:strCache>
            </c:strRef>
          </c:tx>
          <c:spPr>
            <a:solidFill>
              <a:srgbClr val="a3b9e4"/>
            </a:solidFill>
            <a:ln cap="rnd" w="28440">
              <a:solidFill>
                <a:srgbClr val="a3b9e4"/>
              </a:solidFill>
              <a:round/>
            </a:ln>
          </c:spPr>
          <c:marker>
            <c:symbol val="none"/>
          </c:marker>
          <c:dLbls>
            <c:txPr>
              <a:bodyPr wrap="square"/>
              <a:lstStyle/>
              <a:p>
                <a:pPr>
                  <a:defRPr b="0" sz="1000" strike="noStrike" u="none">
                    <a:solidFill>
                      <a:srgbClr val="000000"/>
                    </a:solidFill>
                    <a:uFillTx/>
                    <a:latin typeface="Aptos"/>
                  </a:defRPr>
                </a:pPr>
              </a:p>
            </c:txPr>
            <c:dLblPos val="r"/>
            <c:showLegendKey val="0"/>
            <c:showVal val="0"/>
            <c:showCatName val="0"/>
            <c:showSerName val="0"/>
            <c:showPercent val="0"/>
            <c:separator>; </c:separator>
            <c:showLeaderLines val="1"/>
            <c:leaderLines>
              <c:spPr>
                <a:ln cap="rnd" w="28440">
                  <a:solidFill>
                    <a:srgbClr val="000000"/>
                  </a:solidFill>
                </a:ln>
              </c:spPr>
            </c:leaderLines>
            <c:extLst>
              <c:ext xmlns:c15="http://schemas.microsoft.com/office/drawing/2012/chart" uri="{CE6537A1-D6FC-4f65-9D91-7224C49458BB}">
                <c15:showLeaderLines val="1"/>
              </c:ext>
            </c:extLst>
          </c:dLbls>
          <c:cat>
            <c:strRef>
              <c:f>categories</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2</c:f>
              <c:numCache>
                <c:formatCode>General</c:formatCode>
                <c:ptCount val="11"/>
                <c:pt idx="0">
                  <c:v>-0.58</c:v>
                </c:pt>
                <c:pt idx="1">
                  <c:v>0</c:v>
                </c:pt>
                <c:pt idx="2">
                  <c:v>0</c:v>
                </c:pt>
                <c:pt idx="3">
                  <c:v>-0.08</c:v>
                </c:pt>
                <c:pt idx="4">
                  <c:v>-0.77</c:v>
                </c:pt>
                <c:pt idx="5">
                  <c:v>-1.12</c:v>
                </c:pt>
                <c:pt idx="6">
                  <c:v>-0.27</c:v>
                </c:pt>
                <c:pt idx="7">
                  <c:v>-1.35</c:v>
                </c:pt>
                <c:pt idx="8">
                  <c:v>-1</c:v>
                </c:pt>
                <c:pt idx="9">
                  <c:v>-0.37</c:v>
                </c:pt>
                <c:pt idx="10">
                  <c:v>-1.48</c:v>
                </c:pt>
              </c:numCache>
            </c:numRef>
          </c:val>
          <c:smooth val="0"/>
        </c:ser>
        <c:hiLowLines>
          <c:spPr>
            <a:ln w="0">
              <a:noFill/>
            </a:ln>
          </c:spPr>
        </c:hiLowLines>
        <c:marker val="0"/>
        <c:axId val="50981647"/>
        <c:axId val="14524075"/>
      </c:lineChart>
      <c:catAx>
        <c:axId val="50981647"/>
        <c:scaling>
          <c:orientation val="minMax"/>
        </c:scaling>
        <c:delete val="0"/>
        <c:axPos val="b"/>
        <c:numFmt formatCode="0" sourceLinked="0"/>
        <c:majorTickMark val="none"/>
        <c:minorTickMark val="none"/>
        <c:tickLblPos val="nextTo"/>
        <c:spPr>
          <a:ln w="9360">
            <a:solidFill>
              <a:srgbClr val="d9d9d9"/>
            </a:solidFill>
            <a:round/>
          </a:ln>
        </c:spPr>
        <c:txPr>
          <a:bodyPr/>
          <a:lstStyle/>
          <a:p>
            <a:pPr>
              <a:defRPr b="0" sz="900" strike="noStrike" u="none">
                <a:solidFill>
                  <a:srgbClr val="595959"/>
                </a:solidFill>
                <a:uFillTx/>
                <a:latin typeface="Aptos"/>
              </a:defRPr>
            </a:pPr>
          </a:p>
        </c:txPr>
        <c:crossAx val="14524075"/>
        <c:crosses val="autoZero"/>
        <c:auto val="1"/>
        <c:lblAlgn val="ctr"/>
        <c:lblOffset val="100"/>
        <c:noMultiLvlLbl val="0"/>
      </c:catAx>
      <c:valAx>
        <c:axId val="14524075"/>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900" strike="noStrike" u="none">
                <a:solidFill>
                  <a:srgbClr val="000000"/>
                </a:solidFill>
                <a:uFillTx/>
                <a:latin typeface="Arial"/>
              </a:defRPr>
            </a:pPr>
          </a:p>
        </c:txPr>
        <c:crossAx val="50981647"/>
        <c:crosses val="autoZero"/>
        <c:crossBetween val="between"/>
      </c:valAx>
      <c:dTable>
        <c:showHorzBorder val="1"/>
        <c:showVertBorder val="1"/>
        <c:showOutline val="1"/>
        <c:showKeys val="1"/>
        <c:spPr>
          <a:noFill/>
          <a:ln w="9360">
            <a:solidFill>
              <a:srgbClr val="d9d9d9"/>
            </a:solidFill>
            <a:round/>
          </a:ln>
        </c:spPr>
        <c:txPr>
          <a:bodyPr/>
          <a:lstStyle/>
          <a:p>
            <a:pPr>
              <a:defRPr b="0" sz="900" strike="noStrike" u="none">
                <a:solidFill>
                  <a:srgbClr val="000000"/>
                </a:solidFill>
                <a:uFillTx/>
                <a:latin typeface="Arial"/>
              </a:defRPr>
            </a:pPr>
          </a:p>
        </c:txPr>
      </c:dTable>
      <c:spPr>
        <a:noFill/>
        <a:ln w="0">
          <a:noFill/>
        </a:ln>
      </c:spPr>
    </c:plotArea>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2021</c:v>
                </c:pt>
              </c:strCache>
            </c:strRef>
          </c:tx>
          <c:spPr>
            <a:solidFill>
              <a:srgbClr val="297fd5"/>
            </a:solidFill>
            <a:ln w="0">
              <a:noFill/>
            </a:ln>
          </c:spPr>
          <c:explosion val="0"/>
          <c:dPt>
            <c:idx val="0"/>
            <c:spPr>
              <a:solidFill>
                <a:srgbClr val="1d5b99"/>
              </a:solidFill>
              <a:ln w="25560">
                <a:solidFill>
                  <a:srgbClr val="ffffff"/>
                </a:solidFill>
                <a:round/>
              </a:ln>
            </c:spPr>
          </c:dPt>
          <c:dPt>
            <c:idx val="1"/>
            <c:spPr>
              <a:solidFill>
                <a:srgbClr val="2169b0"/>
              </a:solidFill>
              <a:ln w="25560">
                <a:solidFill>
                  <a:srgbClr val="ffffff"/>
                </a:solidFill>
                <a:round/>
              </a:ln>
            </c:spPr>
          </c:dPt>
          <c:dPt>
            <c:idx val="2"/>
            <c:spPr>
              <a:solidFill>
                <a:srgbClr val="2574c3"/>
              </a:solidFill>
              <a:ln w="25560">
                <a:solidFill>
                  <a:srgbClr val="ffffff"/>
                </a:solidFill>
                <a:round/>
              </a:ln>
            </c:spPr>
          </c:dPt>
          <c:dPt>
            <c:idx val="3"/>
            <c:spPr>
              <a:solidFill>
                <a:srgbClr val="297fd5"/>
              </a:solidFill>
              <a:ln w="25560">
                <a:solidFill>
                  <a:srgbClr val="ffffff"/>
                </a:solidFill>
                <a:round/>
              </a:ln>
            </c:spPr>
          </c:dPt>
          <c:dPt>
            <c:idx val="4"/>
            <c:spPr>
              <a:solidFill>
                <a:srgbClr val="799edc"/>
              </a:solidFill>
              <a:ln w="25560">
                <a:solidFill>
                  <a:srgbClr val="ffffff"/>
                </a:solidFill>
                <a:round/>
              </a:ln>
            </c:spPr>
          </c:dPt>
          <c:dPt>
            <c:idx val="5"/>
            <c:spPr>
              <a:solidFill>
                <a:srgbClr val="a3b9e4"/>
              </a:solidFill>
              <a:ln w="25560">
                <a:solidFill>
                  <a:srgbClr val="ffffff"/>
                </a:solidFill>
                <a:round/>
              </a:ln>
            </c:spPr>
          </c:dPt>
          <c:dPt>
            <c:idx val="6"/>
            <c:spPr>
              <a:solidFill>
                <a:srgbClr val="c1ceec"/>
              </a:solidFill>
              <a:ln w="25560">
                <a:solidFill>
                  <a:srgbClr val="ffffff"/>
                </a:solidFill>
                <a:round/>
              </a:ln>
            </c:spPr>
          </c:dPt>
          <c:dLbls>
            <c:numFmt formatCode="#,##0" sourceLinked="1"/>
            <c:dLbl>
              <c:idx val="0"/>
              <c:layout>
                <c:manualLayout>
                  <c:x val="0.0737919623472992"/>
                  <c:y val="0.072924795592765"/>
                </c:manualLayout>
              </c:layout>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dLbl>
              <c:idx val="1"/>
              <c:layout>
                <c:manualLayout>
                  <c:x val="0.0964913240011665"/>
                  <c:y val="-0.0644758213009261"/>
                </c:manualLayout>
              </c:layout>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dLbl>
              <c:idx val="2"/>
              <c:numFmt formatCode="#,##0" sourceLinked="1"/>
              <c:txPr>
                <a:bodyPr wrap="square"/>
                <a:lstStyle/>
                <a:p>
                  <a:pPr>
                    <a:defRPr b="0" sz="900" strike="noStrike" u="none">
                      <a:solidFill>
                        <a:srgbClr val="000000"/>
                      </a:solidFill>
                      <a:uFillTx/>
                      <a:latin typeface="Arial"/>
                    </a:defRPr>
                  </a:pPr>
                </a:p>
              </c:txPr>
              <c:dLblPos val="bestFit"/>
              <c:showLegendKey val="0"/>
              <c:showVal val="1"/>
              <c:showCatName val="1"/>
              <c:showSerName val="0"/>
              <c:showPercent val="1"/>
              <c:separator>; </c:separator>
            </c:dLbl>
            <c:dLbl>
              <c:idx val="3"/>
              <c:numFmt formatCode="#,##0" sourceLinked="1"/>
              <c:txPr>
                <a:bodyPr wrap="square"/>
                <a:lstStyle/>
                <a:p>
                  <a:pPr>
                    <a:defRPr b="0" sz="900" strike="noStrike" u="none">
                      <a:solidFill>
                        <a:srgbClr val="000000"/>
                      </a:solidFill>
                      <a:uFillTx/>
                      <a:latin typeface="Arial"/>
                    </a:defRPr>
                  </a:pPr>
                </a:p>
              </c:txPr>
              <c:dLblPos val="bestFit"/>
              <c:showLegendKey val="0"/>
              <c:showVal val="1"/>
              <c:showCatName val="1"/>
              <c:showSerName val="0"/>
              <c:showPercent val="1"/>
              <c:separator>; </c:separator>
            </c:dLbl>
            <c:dLbl>
              <c:idx val="4"/>
              <c:numFmt formatCode="#,##0" sourceLinked="1"/>
              <c:txPr>
                <a:bodyPr wrap="square"/>
                <a:lstStyle/>
                <a:p>
                  <a:pPr>
                    <a:defRPr b="0" sz="900" strike="noStrike" u="none">
                      <a:solidFill>
                        <a:srgbClr val="000000"/>
                      </a:solidFill>
                      <a:uFillTx/>
                      <a:latin typeface="Arial"/>
                    </a:defRPr>
                  </a:pPr>
                </a:p>
              </c:txPr>
              <c:dLblPos val="bestFit"/>
              <c:showLegendKey val="0"/>
              <c:showVal val="1"/>
              <c:showCatName val="1"/>
              <c:showSerName val="0"/>
              <c:showPercent val="1"/>
              <c:separator>; </c:separator>
            </c:dLbl>
            <c:dLbl>
              <c:idx val="5"/>
              <c:numFmt formatCode="#,##0" sourceLinked="1"/>
              <c:txPr>
                <a:bodyPr wrap="square"/>
                <a:lstStyle/>
                <a:p>
                  <a:pPr>
                    <a:defRPr b="0" sz="900" strike="noStrike" u="none">
                      <a:solidFill>
                        <a:srgbClr val="000000"/>
                      </a:solidFill>
                      <a:uFillTx/>
                      <a:latin typeface="Arial"/>
                    </a:defRPr>
                  </a:pPr>
                </a:p>
              </c:txPr>
              <c:dLblPos val="bestFit"/>
              <c:showLegendKey val="0"/>
              <c:showVal val="1"/>
              <c:showCatName val="1"/>
              <c:showSerName val="0"/>
              <c:showPercent val="1"/>
              <c:separator>; </c:separator>
            </c:dLbl>
            <c:dLbl>
              <c:idx val="6"/>
              <c:numFmt formatCode="#,##0" sourceLinked="1"/>
              <c:txPr>
                <a:bodyPr wrap="square"/>
                <a:lstStyle/>
                <a:p>
                  <a:pPr>
                    <a:defRPr b="0" sz="900" strike="noStrike" u="none">
                      <a:solidFill>
                        <a:srgbClr val="000000"/>
                      </a:solidFill>
                      <a:uFillTx/>
                      <a:latin typeface="Arial"/>
                    </a:defRPr>
                  </a:pPr>
                </a:p>
              </c:txPr>
              <c:dLblPos val="bestFit"/>
              <c:showLegendKey val="0"/>
              <c:showVal val="1"/>
              <c:showCatName val="1"/>
              <c:showSerName val="0"/>
              <c:showPercent val="1"/>
              <c:separator>; </c:separator>
            </c:dLbl>
            <c:txPr>
              <a:bodyPr wrap="square"/>
              <a:lstStyle/>
              <a:p>
                <a:pPr>
                  <a:defRPr b="0" sz="900" strike="noStrike" u="none">
                    <a:solidFill>
                      <a:srgbClr val="000000"/>
                    </a:solidFill>
                    <a:uFillTx/>
                    <a:latin typeface="Arial"/>
                  </a:defRPr>
                </a:pPr>
              </a:p>
            </c:txPr>
            <c:dLblPos val="bestFit"/>
            <c:showLegendKey val="0"/>
            <c:showVal val="1"/>
            <c:showCatName val="1"/>
            <c:showSerName val="0"/>
            <c:showPercent val="1"/>
            <c:separator>; </c:separator>
            <c:showLeaderLines val="1"/>
            <c:leaderLines>
              <c:spPr>
                <a:ln w="0">
                  <a:solidFill>
                    <a:srgbClr val="a6a6a6"/>
                  </a:solidFill>
                </a:ln>
              </c:spPr>
            </c:leaderLines>
          </c:dLbls>
          <c:cat>
            <c:strRef>
              <c:f>categories</c:f>
              <c:strCache>
                <c:ptCount val="7"/>
                <c:pt idx="0">
                  <c:v>poniżej 0,50 osoby/izbę</c:v>
                </c:pt>
                <c:pt idx="1">
                  <c:v>0,50 - 0,99 osoby/izbę</c:v>
                </c:pt>
                <c:pt idx="2">
                  <c:v>1,00 osoby/izbę</c:v>
                </c:pt>
                <c:pt idx="3">
                  <c:v>1,01 - 1,49 osoby/izbę</c:v>
                </c:pt>
                <c:pt idx="4">
                  <c:v>1,50 - 1,99 osoby/izbę</c:v>
                </c:pt>
                <c:pt idx="5">
                  <c:v>2,00 - 2,99 osoby/izbę</c:v>
                </c:pt>
                <c:pt idx="6">
                  <c:v>3,00 i więcej osoby/izbę</c:v>
                </c:pt>
              </c:strCache>
            </c:strRef>
          </c:cat>
          <c:val>
            <c:numRef>
              <c:f>0</c:f>
              <c:numCache>
                <c:formatCode>General</c:formatCode>
                <c:ptCount val="7"/>
                <c:pt idx="0">
                  <c:v>815</c:v>
                </c:pt>
                <c:pt idx="1">
                  <c:v>1325</c:v>
                </c:pt>
                <c:pt idx="2">
                  <c:v>485</c:v>
                </c:pt>
                <c:pt idx="3">
                  <c:v>311</c:v>
                </c:pt>
                <c:pt idx="4">
                  <c:v>239</c:v>
                </c:pt>
                <c:pt idx="5">
                  <c:v>196</c:v>
                </c:pt>
                <c:pt idx="6">
                  <c:v>66</c:v>
                </c:pt>
              </c:numCache>
            </c:numRef>
          </c:val>
        </c:ser>
      </c:pie3DChart>
    </c:plotArea>
    <c:plotVisOnly val="1"/>
    <c:dispBlanksAs val="gap"/>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c:chart>
    <c:autoTitleDeleted val="1"/>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layout>
        <c:manualLayout>
          <c:layoutTarget val="inner"/>
          <c:xMode val="edge"/>
          <c:yMode val="edge"/>
          <c:x val="0.1335"/>
          <c:y val="0.250222222222222"/>
          <c:w val="0.7329375"/>
          <c:h val="0.666222222222222"/>
        </c:manualLayout>
      </c:layout>
      <c:pie3DChart>
        <c:varyColors val="1"/>
        <c:ser>
          <c:idx val="0"/>
          <c:order val="0"/>
          <c:tx>
            <c:strRef>
              <c:f>label 0</c:f>
              <c:strCache>
                <c:ptCount val="1"/>
                <c:pt idx="0">
                  <c:v>Seria1</c:v>
                </c:pt>
              </c:strCache>
            </c:strRef>
          </c:tx>
          <c:spPr>
            <a:solidFill>
              <a:srgbClr val="297fd5"/>
            </a:solidFill>
            <a:ln w="0">
              <a:noFill/>
            </a:ln>
          </c:spPr>
          <c:explosion val="0"/>
          <c:dPt>
            <c:idx val="0"/>
            <c:spPr>
              <a:solidFill>
                <a:srgbClr val="1c5895"/>
              </a:solidFill>
              <a:ln w="25560">
                <a:solidFill>
                  <a:srgbClr val="ffffff"/>
                </a:solidFill>
                <a:round/>
              </a:ln>
            </c:spPr>
          </c:dPt>
          <c:dPt>
            <c:idx val="1"/>
            <c:spPr>
              <a:solidFill>
                <a:srgbClr val="2064a8"/>
              </a:solidFill>
              <a:ln w="25560">
                <a:solidFill>
                  <a:srgbClr val="ffffff"/>
                </a:solidFill>
                <a:round/>
              </a:ln>
            </c:spPr>
          </c:dPt>
          <c:dPt>
            <c:idx val="2"/>
            <c:spPr>
              <a:solidFill>
                <a:srgbClr val="236eb8"/>
              </a:solidFill>
              <a:ln w="25560">
                <a:solidFill>
                  <a:srgbClr val="ffffff"/>
                </a:solidFill>
                <a:round/>
              </a:ln>
            </c:spPr>
          </c:dPt>
          <c:dPt>
            <c:idx val="3"/>
            <c:spPr>
              <a:solidFill>
                <a:srgbClr val="2676c7"/>
              </a:solidFill>
              <a:ln w="25560">
                <a:solidFill>
                  <a:srgbClr val="ffffff"/>
                </a:solidFill>
                <a:round/>
              </a:ln>
            </c:spPr>
          </c:dPt>
          <c:dPt>
            <c:idx val="4"/>
            <c:spPr>
              <a:solidFill>
                <a:srgbClr val="297fd5"/>
              </a:solidFill>
              <a:ln w="25560">
                <a:solidFill>
                  <a:srgbClr val="ffffff"/>
                </a:solidFill>
                <a:round/>
              </a:ln>
            </c:spPr>
          </c:dPt>
          <c:dPt>
            <c:idx val="5"/>
            <c:spPr>
              <a:solidFill>
                <a:srgbClr val="7099db"/>
              </a:solidFill>
              <a:ln w="25560">
                <a:solidFill>
                  <a:srgbClr val="ffffff"/>
                </a:solidFill>
                <a:round/>
              </a:ln>
            </c:spPr>
          </c:dPt>
          <c:dPt>
            <c:idx val="6"/>
            <c:spPr>
              <a:solidFill>
                <a:srgbClr val="95afe1"/>
              </a:solidFill>
              <a:ln w="25560">
                <a:solidFill>
                  <a:srgbClr val="ffffff"/>
                </a:solidFill>
                <a:round/>
              </a:ln>
            </c:spPr>
          </c:dPt>
          <c:dPt>
            <c:idx val="7"/>
            <c:spPr>
              <a:solidFill>
                <a:srgbClr val="b0c2e7"/>
              </a:solidFill>
              <a:ln w="25560">
                <a:solidFill>
                  <a:srgbClr val="ffffff"/>
                </a:solidFill>
                <a:round/>
              </a:ln>
            </c:spPr>
          </c:dPt>
          <c:dPt>
            <c:idx val="8"/>
            <c:spPr>
              <a:solidFill>
                <a:srgbClr val="c7d3ed"/>
              </a:solidFill>
              <a:ln w="25560">
                <a:solidFill>
                  <a:srgbClr val="ffffff"/>
                </a:solidFill>
                <a:round/>
              </a:ln>
            </c:spPr>
          </c:dPt>
          <c:dLbls>
            <c:numFmt formatCode="#,##0" sourceLinked="1"/>
            <c:dLbl>
              <c:idx val="0"/>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dLbl>
              <c:idx val="1"/>
              <c:layout>
                <c:manualLayout>
                  <c:x val="0.0286368843069874"/>
                  <c:y val="-0.0494826810616284"/>
                </c:manualLayout>
              </c:layout>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dLbl>
              <c:idx val="2"/>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dLbl>
              <c:idx val="3"/>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dLbl>
              <c:idx val="4"/>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dLbl>
              <c:idx val="5"/>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dLbl>
              <c:idx val="6"/>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dLbl>
              <c:idx val="7"/>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dLbl>
              <c:idx val="8"/>
              <c:layout>
                <c:manualLayout>
                  <c:x val="0"/>
                  <c:y val="-0.0472334682860999"/>
                </c:manualLayout>
              </c:layout>
              <c:numFmt formatCode="#,##0" sourceLinked="1"/>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dLbl>
            <c:txPr>
              <a:bodyPr wrap="square"/>
              <a:lstStyle/>
              <a:p>
                <a:pPr>
                  <a:defRPr b="0" sz="900" strike="noStrike" u="none">
                    <a:solidFill>
                      <a:srgbClr val="000000"/>
                    </a:solidFill>
                    <a:uFillTx/>
                    <a:latin typeface="Arial"/>
                  </a:defRPr>
                </a:pPr>
              </a:p>
            </c:txPr>
            <c:dLblPos val="outEnd"/>
            <c:showLegendKey val="0"/>
            <c:showVal val="1"/>
            <c:showCatName val="1"/>
            <c:showSerName val="0"/>
            <c:showPercent val="1"/>
            <c:separator>; </c:separator>
            <c:showLeaderLines val="1"/>
            <c:leaderLines>
              <c:spPr>
                <a:ln w="0">
                  <a:solidFill>
                    <a:srgbClr val="a6a6a6"/>
                  </a:solidFill>
                </a:ln>
              </c:spPr>
            </c:leaderLines>
          </c:dLbls>
          <c:cat>
            <c:strRef>
              <c:f>categories</c:f>
              <c:strCache>
                <c:ptCount val="9"/>
                <c:pt idx="0">
                  <c:v>przed 1918</c:v>
                </c:pt>
                <c:pt idx="1">
                  <c:v>1918-1944</c:v>
                </c:pt>
                <c:pt idx="2">
                  <c:v>1945-1970</c:v>
                </c:pt>
                <c:pt idx="3">
                  <c:v>1971-1978</c:v>
                </c:pt>
                <c:pt idx="4">
                  <c:v>1979-1988</c:v>
                </c:pt>
                <c:pt idx="5">
                  <c:v>1989-2002</c:v>
                </c:pt>
                <c:pt idx="6">
                  <c:v>2003-2011</c:v>
                </c:pt>
                <c:pt idx="7">
                  <c:v>2012-2016</c:v>
                </c:pt>
                <c:pt idx="8">
                  <c:v>2017-2021 (łącznie z budynkami będącymi w budowie)</c:v>
                </c:pt>
              </c:strCache>
            </c:strRef>
          </c:cat>
          <c:val>
            <c:numRef>
              <c:f>0</c:f>
              <c:numCache>
                <c:formatCode>General</c:formatCode>
                <c:ptCount val="9"/>
                <c:pt idx="0">
                  <c:v>36</c:v>
                </c:pt>
                <c:pt idx="1">
                  <c:v>183</c:v>
                </c:pt>
                <c:pt idx="2">
                  <c:v>1056</c:v>
                </c:pt>
                <c:pt idx="3">
                  <c:v>528</c:v>
                </c:pt>
                <c:pt idx="4">
                  <c:v>391</c:v>
                </c:pt>
                <c:pt idx="5">
                  <c:v>773</c:v>
                </c:pt>
                <c:pt idx="6">
                  <c:v>205</c:v>
                </c:pt>
                <c:pt idx="7">
                  <c:v>136</c:v>
                </c:pt>
                <c:pt idx="8">
                  <c:v>105</c:v>
                </c:pt>
              </c:numCache>
            </c:numRef>
          </c:val>
        </c:ser>
      </c:pie3DChart>
    </c:plotArea>
    <c:plotVisOnly val="1"/>
    <c:dispBlanksAs val="gap"/>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c:chart>
    <c:autoTitleDeleted val="1"/>
    <c:plotArea>
      <c:barChart>
        <c:barDir val="col"/>
        <c:grouping val="clustered"/>
        <c:varyColors val="0"/>
        <c:ser>
          <c:idx val="0"/>
          <c:order val="0"/>
          <c:tx>
            <c:strRef>
              <c:f>label 0</c:f>
              <c:strCache>
                <c:ptCount val="1"/>
                <c:pt idx="0">
                  <c:v>2014</c:v>
                </c:pt>
              </c:strCache>
            </c:strRef>
          </c:tx>
          <c:spPr>
            <a:solidFill>
              <a:srgbClr val="1b5690"/>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0</c:f>
              <c:numCache>
                <c:formatCode>General</c:formatCode>
                <c:ptCount val="7"/>
                <c:pt idx="0">
                  <c:v>613</c:v>
                </c:pt>
                <c:pt idx="1">
                  <c:v>260</c:v>
                </c:pt>
                <c:pt idx="2">
                  <c:v>353</c:v>
                </c:pt>
                <c:pt idx="3">
                  <c:v>157</c:v>
                </c:pt>
                <c:pt idx="4">
                  <c:v>0</c:v>
                </c:pt>
                <c:pt idx="5">
                  <c:v>100</c:v>
                </c:pt>
                <c:pt idx="6">
                  <c:v>399</c:v>
                </c:pt>
              </c:numCache>
            </c:numRef>
          </c:val>
        </c:ser>
        <c:ser>
          <c:idx val="1"/>
          <c:order val="1"/>
          <c:tx>
            <c:strRef>
              <c:f>label 1</c:f>
              <c:strCache>
                <c:ptCount val="1"/>
                <c:pt idx="0">
                  <c:v>2015</c:v>
                </c:pt>
              </c:strCache>
            </c:strRef>
          </c:tx>
          <c:spPr>
            <a:solidFill>
              <a:srgbClr val="1f60a1"/>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1</c:f>
              <c:numCache>
                <c:formatCode>General</c:formatCode>
                <c:ptCount val="7"/>
                <c:pt idx="0">
                  <c:v>560</c:v>
                </c:pt>
                <c:pt idx="1">
                  <c:v>257</c:v>
                </c:pt>
                <c:pt idx="2">
                  <c:v>303</c:v>
                </c:pt>
                <c:pt idx="3">
                  <c:v>148</c:v>
                </c:pt>
                <c:pt idx="4">
                  <c:v>254</c:v>
                </c:pt>
                <c:pt idx="5">
                  <c:v>96</c:v>
                </c:pt>
                <c:pt idx="6">
                  <c:v>338</c:v>
                </c:pt>
              </c:numCache>
            </c:numRef>
          </c:val>
        </c:ser>
        <c:ser>
          <c:idx val="2"/>
          <c:order val="2"/>
          <c:tx>
            <c:strRef>
              <c:f>label 2</c:f>
              <c:strCache>
                <c:ptCount val="1"/>
                <c:pt idx="0">
                  <c:v>2016</c:v>
                </c:pt>
              </c:strCache>
            </c:strRef>
          </c:tx>
          <c:spPr>
            <a:solidFill>
              <a:srgbClr val="2169b0"/>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2</c:f>
              <c:numCache>
                <c:formatCode>General</c:formatCode>
                <c:ptCount val="7"/>
                <c:pt idx="0">
                  <c:v>453</c:v>
                </c:pt>
                <c:pt idx="1">
                  <c:v>232</c:v>
                </c:pt>
                <c:pt idx="2">
                  <c:v>221</c:v>
                </c:pt>
                <c:pt idx="3">
                  <c:v>103</c:v>
                </c:pt>
                <c:pt idx="4">
                  <c:v>192</c:v>
                </c:pt>
                <c:pt idx="5">
                  <c:v>86</c:v>
                </c:pt>
                <c:pt idx="6">
                  <c:v>271</c:v>
                </c:pt>
              </c:numCache>
            </c:numRef>
          </c:val>
        </c:ser>
        <c:ser>
          <c:idx val="3"/>
          <c:order val="3"/>
          <c:tx>
            <c:strRef>
              <c:f>label 3</c:f>
              <c:strCache>
                <c:ptCount val="1"/>
                <c:pt idx="0">
                  <c:v>2017</c:v>
                </c:pt>
              </c:strCache>
            </c:strRef>
          </c:tx>
          <c:spPr>
            <a:solidFill>
              <a:srgbClr val="2470bd"/>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3</c:f>
              <c:numCache>
                <c:formatCode>General</c:formatCode>
                <c:ptCount val="7"/>
                <c:pt idx="0">
                  <c:v>430</c:v>
                </c:pt>
                <c:pt idx="1">
                  <c:v>226</c:v>
                </c:pt>
                <c:pt idx="2">
                  <c:v>204</c:v>
                </c:pt>
                <c:pt idx="3">
                  <c:v>95</c:v>
                </c:pt>
                <c:pt idx="4">
                  <c:v>168</c:v>
                </c:pt>
                <c:pt idx="5">
                  <c:v>85</c:v>
                </c:pt>
                <c:pt idx="6">
                  <c:v>232</c:v>
                </c:pt>
              </c:numCache>
            </c:numRef>
          </c:val>
        </c:ser>
        <c:ser>
          <c:idx val="4"/>
          <c:order val="4"/>
          <c:tx>
            <c:strRef>
              <c:f>label 4</c:f>
              <c:strCache>
                <c:ptCount val="1"/>
                <c:pt idx="0">
                  <c:v>2018</c:v>
                </c:pt>
              </c:strCache>
            </c:strRef>
          </c:tx>
          <c:spPr>
            <a:solidFill>
              <a:srgbClr val="2678c9"/>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4</c:f>
              <c:numCache>
                <c:formatCode>General</c:formatCode>
                <c:ptCount val="7"/>
                <c:pt idx="0">
                  <c:v>347</c:v>
                </c:pt>
                <c:pt idx="1">
                  <c:v>175</c:v>
                </c:pt>
                <c:pt idx="2">
                  <c:v>172</c:v>
                </c:pt>
                <c:pt idx="3">
                  <c:v>65</c:v>
                </c:pt>
                <c:pt idx="4">
                  <c:v>129</c:v>
                </c:pt>
                <c:pt idx="5">
                  <c:v>73</c:v>
                </c:pt>
                <c:pt idx="6">
                  <c:v>213</c:v>
                </c:pt>
              </c:numCache>
            </c:numRef>
          </c:val>
        </c:ser>
        <c:ser>
          <c:idx val="5"/>
          <c:order val="5"/>
          <c:tx>
            <c:strRef>
              <c:f>label 5</c:f>
              <c:strCache>
                <c:ptCount val="1"/>
                <c:pt idx="0">
                  <c:v>2019</c:v>
                </c:pt>
              </c:strCache>
            </c:strRef>
          </c:tx>
          <c:spPr>
            <a:solidFill>
              <a:srgbClr val="297fd5"/>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5</c:f>
              <c:numCache>
                <c:formatCode>General</c:formatCode>
                <c:ptCount val="7"/>
                <c:pt idx="0">
                  <c:v>295</c:v>
                </c:pt>
                <c:pt idx="1">
                  <c:v>161</c:v>
                </c:pt>
                <c:pt idx="2">
                  <c:v>134</c:v>
                </c:pt>
                <c:pt idx="3">
                  <c:v>63</c:v>
                </c:pt>
                <c:pt idx="4">
                  <c:v>122</c:v>
                </c:pt>
                <c:pt idx="5">
                  <c:v>55</c:v>
                </c:pt>
                <c:pt idx="6">
                  <c:v>161</c:v>
                </c:pt>
              </c:numCache>
            </c:numRef>
          </c:val>
        </c:ser>
        <c:ser>
          <c:idx val="6"/>
          <c:order val="6"/>
          <c:tx>
            <c:strRef>
              <c:f>label 6</c:f>
              <c:strCache>
                <c:ptCount val="1"/>
                <c:pt idx="0">
                  <c:v>2020</c:v>
                </c:pt>
              </c:strCache>
            </c:strRef>
          </c:tx>
          <c:spPr>
            <a:solidFill>
              <a:srgbClr val="6694da"/>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6</c:f>
              <c:numCache>
                <c:formatCode>General</c:formatCode>
                <c:ptCount val="7"/>
                <c:pt idx="0">
                  <c:v>326</c:v>
                </c:pt>
                <c:pt idx="1">
                  <c:v>173</c:v>
                </c:pt>
                <c:pt idx="2">
                  <c:v>153</c:v>
                </c:pt>
                <c:pt idx="3">
                  <c:v>58</c:v>
                </c:pt>
                <c:pt idx="4">
                  <c:v>128</c:v>
                </c:pt>
                <c:pt idx="5">
                  <c:v>55</c:v>
                </c:pt>
                <c:pt idx="6">
                  <c:v>159</c:v>
                </c:pt>
              </c:numCache>
            </c:numRef>
          </c:val>
        </c:ser>
        <c:ser>
          <c:idx val="7"/>
          <c:order val="7"/>
          <c:tx>
            <c:strRef>
              <c:f>label 7</c:f>
              <c:strCache>
                <c:ptCount val="1"/>
                <c:pt idx="0">
                  <c:v>2021</c:v>
                </c:pt>
              </c:strCache>
            </c:strRef>
          </c:tx>
          <c:spPr>
            <a:solidFill>
              <a:srgbClr val="89a8df"/>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7</c:f>
              <c:numCache>
                <c:formatCode>General</c:formatCode>
                <c:ptCount val="7"/>
                <c:pt idx="0">
                  <c:v>257</c:v>
                </c:pt>
                <c:pt idx="1">
                  <c:v>134</c:v>
                </c:pt>
                <c:pt idx="2">
                  <c:v>123</c:v>
                </c:pt>
                <c:pt idx="3">
                  <c:v>37</c:v>
                </c:pt>
                <c:pt idx="4">
                  <c:v>86</c:v>
                </c:pt>
                <c:pt idx="5">
                  <c:v>55</c:v>
                </c:pt>
                <c:pt idx="6">
                  <c:v>142</c:v>
                </c:pt>
              </c:numCache>
            </c:numRef>
          </c:val>
        </c:ser>
        <c:ser>
          <c:idx val="8"/>
          <c:order val="8"/>
          <c:tx>
            <c:strRef>
              <c:f>label 8</c:f>
              <c:strCache>
                <c:ptCount val="1"/>
                <c:pt idx="0">
                  <c:v>2022</c:v>
                </c:pt>
              </c:strCache>
            </c:strRef>
          </c:tx>
          <c:spPr>
            <a:solidFill>
              <a:srgbClr val="a3b9e4"/>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8</c:f>
              <c:numCache>
                <c:formatCode>General</c:formatCode>
                <c:ptCount val="7"/>
                <c:pt idx="0">
                  <c:v>252</c:v>
                </c:pt>
                <c:pt idx="1">
                  <c:v>129</c:v>
                </c:pt>
                <c:pt idx="2">
                  <c:v>123</c:v>
                </c:pt>
                <c:pt idx="3">
                  <c:v>37</c:v>
                </c:pt>
                <c:pt idx="4">
                  <c:v>75</c:v>
                </c:pt>
                <c:pt idx="5">
                  <c:v>52</c:v>
                </c:pt>
                <c:pt idx="6">
                  <c:v>120</c:v>
                </c:pt>
              </c:numCache>
            </c:numRef>
          </c:val>
        </c:ser>
        <c:ser>
          <c:idx val="9"/>
          <c:order val="9"/>
          <c:tx>
            <c:strRef>
              <c:f>label 9</c:f>
              <c:strCache>
                <c:ptCount val="1"/>
                <c:pt idx="0">
                  <c:v>2023</c:v>
                </c:pt>
              </c:strCache>
            </c:strRef>
          </c:tx>
          <c:spPr>
            <a:solidFill>
              <a:srgbClr val="b7c7e9"/>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9</c:f>
              <c:numCache>
                <c:formatCode>General</c:formatCode>
                <c:ptCount val="7"/>
                <c:pt idx="0">
                  <c:v>225</c:v>
                </c:pt>
                <c:pt idx="1">
                  <c:v>110</c:v>
                </c:pt>
                <c:pt idx="2">
                  <c:v>115</c:v>
                </c:pt>
                <c:pt idx="3">
                  <c:v>45</c:v>
                </c:pt>
                <c:pt idx="4">
                  <c:v>80</c:v>
                </c:pt>
                <c:pt idx="5">
                  <c:v>43</c:v>
                </c:pt>
                <c:pt idx="6">
                  <c:v>109</c:v>
                </c:pt>
              </c:numCache>
            </c:numRef>
          </c:val>
        </c:ser>
        <c:ser>
          <c:idx val="10"/>
          <c:order val="10"/>
          <c:tx>
            <c:strRef>
              <c:f>label 10</c:f>
              <c:strCache>
                <c:ptCount val="1"/>
                <c:pt idx="0">
                  <c:v>2024</c:v>
                </c:pt>
              </c:strCache>
            </c:strRef>
          </c:tx>
          <c:spPr>
            <a:solidFill>
              <a:srgbClr val="cad5ee"/>
            </a:solidFill>
            <a:ln w="0">
              <a:noFill/>
            </a:ln>
          </c:spPr>
          <c:invertIfNegative val="0"/>
          <c:dLbls>
            <c:txPr>
              <a:bodyPr wrap="square"/>
              <a:lstStyle/>
              <a:p>
                <a:pPr>
                  <a:defRPr b="0" sz="1000" strike="noStrike" u="none">
                    <a:solidFill>
                      <a:srgbClr val="000000"/>
                    </a:solidFill>
                    <a:uFillTx/>
                    <a:latin typeface="Arial"/>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7"/>
                <c:pt idx="0">
                  <c:v>ogółem</c:v>
                </c:pt>
                <c:pt idx="1">
                  <c:v>kobiety</c:v>
                </c:pt>
                <c:pt idx="2">
                  <c:v>mężczyźni</c:v>
                </c:pt>
                <c:pt idx="3">
                  <c:v>do 25 roku życia</c:v>
                </c:pt>
                <c:pt idx="4">
                  <c:v>do 30 roku życia</c:v>
                </c:pt>
                <c:pt idx="5">
                  <c:v>powyżej 50 roku życia</c:v>
                </c:pt>
                <c:pt idx="6">
                  <c:v>długotrwale bezrobotni</c:v>
                </c:pt>
              </c:strCache>
            </c:strRef>
          </c:cat>
          <c:val>
            <c:numRef>
              <c:f>10</c:f>
              <c:numCache>
                <c:formatCode>General</c:formatCode>
                <c:ptCount val="7"/>
                <c:pt idx="0">
                  <c:v>231</c:v>
                </c:pt>
                <c:pt idx="1">
                  <c:v>114</c:v>
                </c:pt>
                <c:pt idx="2">
                  <c:v>117</c:v>
                </c:pt>
                <c:pt idx="3">
                  <c:v>53</c:v>
                </c:pt>
                <c:pt idx="4">
                  <c:v>80</c:v>
                </c:pt>
                <c:pt idx="5">
                  <c:v>37</c:v>
                </c:pt>
                <c:pt idx="6">
                  <c:v>110</c:v>
                </c:pt>
              </c:numCache>
            </c:numRef>
          </c:val>
        </c:ser>
        <c:gapWidth val="219"/>
        <c:overlap val="-27"/>
        <c:axId val="25161746"/>
        <c:axId val="60524147"/>
      </c:barChart>
      <c:catAx>
        <c:axId val="2516174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trike="noStrike" u="none">
                <a:solidFill>
                  <a:srgbClr val="000000"/>
                </a:solidFill>
                <a:uFillTx/>
                <a:latin typeface="Arial"/>
              </a:defRPr>
            </a:pPr>
          </a:p>
        </c:txPr>
        <c:crossAx val="60524147"/>
        <c:crosses val="autoZero"/>
        <c:auto val="1"/>
        <c:lblAlgn val="ctr"/>
        <c:lblOffset val="100"/>
        <c:noMultiLvlLbl val="0"/>
      </c:catAx>
      <c:valAx>
        <c:axId val="60524147"/>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trike="noStrike" u="none">
                <a:solidFill>
                  <a:srgbClr val="000000"/>
                </a:solidFill>
                <a:uFillTx/>
                <a:latin typeface="Arial"/>
              </a:defRPr>
            </a:pPr>
          </a:p>
        </c:txPr>
        <c:crossAx val="25161746"/>
        <c:crosses val="autoZero"/>
        <c:crossBetween val="between"/>
      </c:valAx>
      <c:spPr>
        <a:noFill/>
        <a:ln w="0">
          <a:noFill/>
        </a:ln>
      </c:spPr>
    </c:plotArea>
    <c:legend>
      <c:legendPos val="b"/>
      <c:overlay val="0"/>
      <c:spPr>
        <a:noFill/>
        <a:ln w="0">
          <a:noFill/>
        </a:ln>
      </c:spPr>
      <c:txPr>
        <a:bodyPr/>
        <a:lstStyle/>
        <a:p>
          <a:pPr>
            <a:defRPr b="0" sz="900" strike="noStrike" u="none">
              <a:solidFill>
                <a:srgbClr val="000000"/>
              </a:solidFill>
              <a:uFillTx/>
              <a:latin typeface="Arial"/>
            </a:defRPr>
          </a:pPr>
        </a:p>
      </c:txPr>
    </c:legend>
    <c:plotVisOnly val="1"/>
    <c:dispBlanksAs val="gap"/>
  </c:chart>
  <c:spPr>
    <a:solidFill>
      <a:srgbClr val="ffffff"/>
    </a:solidFill>
    <a:ln w="9360">
      <a:solidFill>
        <a:srgbClr val="d9d9d9"/>
      </a:solidFill>
      <a:roun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c:chart>
    <c:autoTitleDeleted val="1"/>
    <c:plotArea>
      <c:barChart>
        <c:barDir val="col"/>
        <c:grouping val="clustered"/>
        <c:varyColors val="0"/>
        <c:ser>
          <c:idx val="0"/>
          <c:order val="0"/>
          <c:tx>
            <c:strRef>
              <c:f>label 0</c:f>
              <c:strCache>
                <c:ptCount val="1"/>
                <c:pt idx="0">
                  <c:v>poniżej kryterium dochodowego</c:v>
                </c:pt>
              </c:strCache>
            </c:strRef>
          </c:tx>
          <c:spPr>
            <a:solidFill>
              <a:srgbClr val="2470bd"/>
            </a:solidFill>
            <a:ln w="0">
              <a:noFill/>
            </a:ln>
          </c:spPr>
          <c:invertIfNegative val="0"/>
          <c:dLbls>
            <c:txPr>
              <a:bodyPr wrap="square"/>
              <a:lstStyle/>
              <a:p>
                <a:pPr>
                  <a:defRPr b="0" sz="1000" strike="noStrike" u="none">
                    <a:solidFill>
                      <a:srgbClr val="000000"/>
                    </a:solidFill>
                    <a:uFillTx/>
                    <a:latin typeface="Aptos"/>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0</c:f>
              <c:numCache>
                <c:formatCode>General</c:formatCode>
                <c:ptCount val="10"/>
                <c:pt idx="0">
                  <c:v>190</c:v>
                </c:pt>
                <c:pt idx="1">
                  <c:v>184</c:v>
                </c:pt>
                <c:pt idx="2">
                  <c:v>172</c:v>
                </c:pt>
                <c:pt idx="3">
                  <c:v>147</c:v>
                </c:pt>
                <c:pt idx="4">
                  <c:v>127</c:v>
                </c:pt>
                <c:pt idx="5">
                  <c:v>116</c:v>
                </c:pt>
                <c:pt idx="6">
                  <c:v>132</c:v>
                </c:pt>
                <c:pt idx="7">
                  <c:v>128</c:v>
                </c:pt>
                <c:pt idx="8">
                  <c:v>142</c:v>
                </c:pt>
                <c:pt idx="9">
                  <c:v>123</c:v>
                </c:pt>
              </c:numCache>
            </c:numRef>
          </c:val>
        </c:ser>
        <c:ser>
          <c:idx val="1"/>
          <c:order val="1"/>
          <c:tx>
            <c:strRef>
              <c:f>label 1</c:f>
              <c:strCache>
                <c:ptCount val="1"/>
                <c:pt idx="0">
                  <c:v>powyżej kryterium dochodowego</c:v>
                </c:pt>
              </c:strCache>
            </c:strRef>
          </c:tx>
          <c:spPr>
            <a:solidFill>
              <a:srgbClr val="89a8df"/>
            </a:solidFill>
            <a:ln w="0">
              <a:noFill/>
            </a:ln>
          </c:spPr>
          <c:invertIfNegative val="0"/>
          <c:dLbls>
            <c:txPr>
              <a:bodyPr wrap="square"/>
              <a:lstStyle/>
              <a:p>
                <a:pPr>
                  <a:defRPr b="0" sz="1000" strike="noStrike" u="none">
                    <a:solidFill>
                      <a:srgbClr val="000000"/>
                    </a:solidFill>
                    <a:uFillTx/>
                    <a:latin typeface="Aptos"/>
                  </a:defRPr>
                </a:pPr>
              </a:p>
            </c:txPr>
            <c:dLblPos val="outEnd"/>
            <c:showLegendKey val="0"/>
            <c:showVal val="0"/>
            <c:showCatName val="0"/>
            <c:showSerName val="0"/>
            <c:showPercent val="0"/>
            <c:separator>; </c:separator>
            <c:showLeaderLines val="1"/>
            <c:leaderLines>
              <c:spPr>
                <a:ln w="0">
                  <a:solidFill>
                    <a:srgbClr val="000000"/>
                  </a:solidFill>
                </a:ln>
              </c:spPr>
            </c:leaderLines>
            <c:extLst>
              <c:ext xmlns:c15="http://schemas.microsoft.com/office/drawing/2012/chart" uri="{CE6537A1-D6FC-4f65-9D91-7224C49458BB}">
                <c15:showLeaderLines val="1"/>
              </c:ext>
            </c:extLst>
          </c:dLbls>
          <c:cat>
            <c:strRef>
              <c:f>categories</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1</c:f>
              <c:numCache>
                <c:formatCode>General</c:formatCode>
                <c:ptCount val="10"/>
                <c:pt idx="0">
                  <c:v>86</c:v>
                </c:pt>
                <c:pt idx="1">
                  <c:v>70</c:v>
                </c:pt>
                <c:pt idx="2">
                  <c:v>86</c:v>
                </c:pt>
                <c:pt idx="3">
                  <c:v>71</c:v>
                </c:pt>
                <c:pt idx="4">
                  <c:v>92</c:v>
                </c:pt>
                <c:pt idx="5">
                  <c:v>80</c:v>
                </c:pt>
                <c:pt idx="6">
                  <c:v>70</c:v>
                </c:pt>
                <c:pt idx="7">
                  <c:v>51</c:v>
                </c:pt>
                <c:pt idx="8">
                  <c:v>30</c:v>
                </c:pt>
                <c:pt idx="9">
                  <c:v>40</c:v>
                </c:pt>
              </c:numCache>
            </c:numRef>
          </c:val>
        </c:ser>
        <c:gapWidth val="219"/>
        <c:overlap val="-27"/>
        <c:axId val="22333660"/>
        <c:axId val="84163489"/>
      </c:barChart>
      <c:catAx>
        <c:axId val="2233366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trike="noStrike" u="none">
                <a:solidFill>
                  <a:srgbClr val="595959"/>
                </a:solidFill>
                <a:uFillTx/>
                <a:latin typeface="Aptos"/>
              </a:defRPr>
            </a:pPr>
          </a:p>
        </c:txPr>
        <c:crossAx val="84163489"/>
        <c:crosses val="autoZero"/>
        <c:auto val="1"/>
        <c:lblAlgn val="ctr"/>
        <c:lblOffset val="100"/>
        <c:noMultiLvlLbl val="0"/>
      </c:catAx>
      <c:valAx>
        <c:axId val="84163489"/>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trike="noStrike" u="none">
                <a:solidFill>
                  <a:srgbClr val="000000"/>
                </a:solidFill>
                <a:uFillTx/>
                <a:latin typeface="Arial"/>
              </a:defRPr>
            </a:pPr>
          </a:p>
        </c:txPr>
        <c:crossAx val="22333660"/>
        <c:crosses val="autoZero"/>
        <c:crossBetween val="between"/>
      </c:valAx>
      <c:dTable>
        <c:showHorzBorder val="1"/>
        <c:showVertBorder val="1"/>
        <c:showOutline val="1"/>
        <c:showKeys val="1"/>
        <c:spPr>
          <a:noFill/>
          <a:ln w="9360">
            <a:solidFill>
              <a:srgbClr val="d9d9d9"/>
            </a:solidFill>
            <a:round/>
          </a:ln>
        </c:spPr>
        <c:txPr>
          <a:bodyPr/>
          <a:lstStyle/>
          <a:p>
            <a:pPr>
              <a:defRPr b="0" sz="900" strike="noStrike" u="none">
                <a:solidFill>
                  <a:srgbClr val="595959"/>
                </a:solidFill>
                <a:uFillTx/>
                <a:latin typeface="Aptos"/>
              </a:defRPr>
            </a:pPr>
          </a:p>
        </c:txPr>
      </c:dTable>
      <c:spPr>
        <a:noFill/>
        <a:ln w="0">
          <a:noFill/>
        </a:ln>
      </c:spPr>
    </c:plotArea>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xmlns:r="http://schemas.openxmlformats.org/officeDocument/2006/relationships" name="Office Theme">
  <a:themeElements>
    <a:clrScheme name="Ciepły niebieski">
      <a:dk1>
        <a:srgbClr val="000000"/>
      </a:dk1>
      <a:lt1>
        <a:srgbClr val="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B453A-A8CD-4E33-85F5-80AE3D57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3444</TotalTime>
  <Application>LibreOffice/25.2.6.2$Windows_X86_64 LibreOffice_project/729c5bfe710f5eb71ed3bbde9e06a6065e9c6c5d</Application>
  <AppVersion>15.0000</AppVersion>
  <Pages>114</Pages>
  <Words>21214</Words>
  <Characters>145623</Characters>
  <CharactersWithSpaces>165755</CharactersWithSpaces>
  <Paragraphs>1455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2025-11-11T14:12:00Z</dcterms:created>
  <dc:creator>Anna Kłos</dc:creator>
  <dc:description/>
  <dc:language>pl-PL</dc:language>
  <cp:lastModifiedBy/>
  <cp:lastPrinted>2025-10-15T08:34:00Z</cp:lastPrinted>
  <dcterms:modified xsi:type="dcterms:W3CDTF">2025-11-19T09:11:23Z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file>